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4"/>
        </w:rPr>
        <w:t>TERTIARY INFOTECH ACADEMY PTE LTD</w:t>
      </w:r>
    </w:p>
    <w:p>
      <w:pPr>
        <w:pStyle w:val="Title"/>
      </w:pPr>
      <w:r>
        <w:t>Lesson Plan</w:t>
      </w:r>
    </w:p>
    <w:p>
      <w:r>
        <w:t>Multi AI Agents Workflow for Content Creation</w:t>
      </w:r>
    </w:p>
    <w:p>
      <w:r>
        <w:t>TGS-2023036153 · ICT-SNM-4004-1.1 Content Strategy</w:t>
      </w:r>
    </w:p>
    <w:p>
      <w:r>
        <w:t>v1.0 · 13 September 2026</w:t>
      </w:r>
    </w:p>
    <w:p>
      <w:r>
        <w:t>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Release date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  <w:tc>
          <w:tcPr>
            <w:tcW w:type="dxa" w:w="2484"/>
          </w:tcPr>
          <w:p>
            <w:r>
              <w:t>Owner</w:t>
            </w:r>
          </w:p>
        </w:tc>
      </w:tr>
      <w:tr>
        <w:tc>
          <w:tcPr>
            <w:tcW w:type="dxa" w:w="2484"/>
          </w:tcPr>
          <w:p>
            <w:r>
              <w:t>v1.0</w:t>
            </w:r>
          </w:p>
        </w:tc>
        <w:tc>
          <w:tcPr>
            <w:tcW w:type="dxa" w:w="2484"/>
          </w:tcPr>
          <w:p>
            <w:r>
              <w:t>13 September 2026</w:t>
            </w:r>
          </w:p>
        </w:tc>
        <w:tc>
          <w:tcPr>
            <w:tcW w:type="dxa" w:w="2484"/>
          </w:tcPr>
          <w:p>
            <w:r>
              <w:t>New multi-agent content strategy courseware aligned to current course page and TSC</w:t>
            </w:r>
          </w:p>
        </w:tc>
        <w:tc>
          <w:tcPr>
            <w:tcW w:type="dxa" w:w="2484"/>
          </w:tcPr>
          <w:p>
            <w:r>
              <w:t>Tertiary Infotech Academy</w:t>
            </w:r>
          </w:p>
        </w:tc>
      </w:tr>
    </w:tbl>
    <w:p>
      <w:pPr>
        <w:pStyle w:val="Heading1"/>
      </w:pPr>
      <w:r>
        <w:t>Contents</w:t>
      </w:r>
    </w:p>
    <w:p>
      <w:fldSimple w:instr="TOC \o &quot;1-3&quot; \h \z \u"/>
    </w:p>
    <w:p>
      <w:pPr>
        <w:pStyle w:val="Heading1"/>
      </w:pPr>
      <w:r>
        <w:t>Programme</w:t>
      </w:r>
    </w:p>
    <w:p>
      <w:r>
        <w:t>Two days · 16 hours of training · separate WA 60 minutes and PP 120 minutes. TSC: ICT-SNM-4004-1.1 Content Strategy</w:t>
      </w:r>
    </w:p>
    <w:p>
      <w:pPr>
        <w:pStyle w:val="Heading1"/>
      </w:pPr>
      <w:r>
        <w:t>Day 1 · 8 training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Time</w:t>
            </w:r>
          </w:p>
        </w:tc>
        <w:tc>
          <w:tcPr>
            <w:tcW w:type="dxa" w:w="2484"/>
          </w:tcPr>
          <w:p>
            <w:r>
              <w:t>Topic and evidence</w:t>
            </w:r>
          </w:p>
        </w:tc>
        <w:tc>
          <w:tcPr>
            <w:tcW w:type="dxa" w:w="2484"/>
          </w:tcPr>
          <w:p>
            <w:r>
              <w:t>Slide range</w:t>
            </w:r>
          </w:p>
        </w:tc>
        <w:tc>
          <w:tcPr>
            <w:tcW w:type="dxa" w:w="2484"/>
          </w:tcPr>
          <w:p>
            <w:r>
              <w:t>Method</w:t>
            </w:r>
          </w:p>
        </w:tc>
      </w:tr>
      <w:tr>
        <w:tc>
          <w:tcPr>
            <w:tcW w:type="dxa" w:w="2484"/>
          </w:tcPr>
          <w:p>
            <w:r>
              <w:t>00:00–04:00</w:t>
            </w:r>
          </w:p>
        </w:tc>
        <w:tc>
          <w:tcPr>
            <w:tcW w:type="dxa" w:w="2484"/>
          </w:tcPr>
          <w:p>
            <w:r>
              <w:t>Topic 1: Multi-AI-Agent Content Ideation and Digital Storyboarding; Labs 01–03; artifacts and review evidence</w:t>
            </w:r>
          </w:p>
        </w:tc>
        <w:tc>
          <w:tcPr>
            <w:tcW w:type="dxa" w:w="2484"/>
          </w:tcPr>
          <w:p>
            <w:r>
              <w:t>9–64</w:t>
            </w:r>
          </w:p>
        </w:tc>
        <w:tc>
          <w:tcPr>
            <w:tcW w:type="dxa" w:w="2484"/>
          </w:tcPr>
          <w:p>
            <w:r>
              <w:t>Visual models, worked GreenLeaf case, guided lab and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01: Campaign objective and role charter · goal sheet, role charter and brief</w:t>
            </w:r>
          </w:p>
        </w:tc>
        <w:tc>
          <w:tcPr>
            <w:tcW w:type="dxa" w:w="2484"/>
          </w:tcPr>
          <w:p>
            <w:r>
              <w:t>10–26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02: Research packet and idea ranking · source cards, claim ledger and ranked ideas</w:t>
            </w:r>
          </w:p>
        </w:tc>
        <w:tc>
          <w:tcPr>
            <w:tcW w:type="dxa" w:w="2484"/>
          </w:tcPr>
          <w:p>
            <w:r>
              <w:t>30–46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03: Five-beat storyboard · scene sheet, variants and QA decision</w:t>
            </w:r>
          </w:p>
        </w:tc>
        <w:tc>
          <w:tcPr>
            <w:tcW w:type="dxa" w:w="2484"/>
          </w:tcPr>
          <w:p>
            <w:r>
              <w:t>50–62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04:00–08:00</w:t>
            </w:r>
          </w:p>
        </w:tc>
        <w:tc>
          <w:tcPr>
            <w:tcW w:type="dxa" w:w="2484"/>
          </w:tcPr>
          <w:p>
            <w:r>
              <w:t>Topic 2: Audience Research and Content Requirement Analysis; Labs 04–06; artifacts and review evidence</w:t>
            </w:r>
          </w:p>
        </w:tc>
        <w:tc>
          <w:tcPr>
            <w:tcW w:type="dxa" w:w="2484"/>
          </w:tcPr>
          <w:p>
            <w:r>
              <w:t>67–122</w:t>
            </w:r>
          </w:p>
        </w:tc>
        <w:tc>
          <w:tcPr>
            <w:tcW w:type="dxa" w:w="2484"/>
          </w:tcPr>
          <w:p>
            <w:r>
              <w:t>Visual models, worked GreenLeaf case, guided lab and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04: Audience evidence and personas · evidence register, segments and persona matrix</w:t>
            </w:r>
          </w:p>
        </w:tc>
        <w:tc>
          <w:tcPr>
            <w:tcW w:type="dxa" w:w="2484"/>
          </w:tcPr>
          <w:p>
            <w:r>
              <w:t>68–84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05: Requirements and cadence · content specification and four-week calendar</w:t>
            </w:r>
          </w:p>
        </w:tc>
        <w:tc>
          <w:tcPr>
            <w:tcW w:type="dxa" w:w="2484"/>
          </w:tcPr>
          <w:p>
            <w:r>
              <w:t>88–104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06: Research-agent handoff · validated audience brief with uncertainty labels</w:t>
            </w:r>
          </w:p>
        </w:tc>
        <w:tc>
          <w:tcPr>
            <w:tcW w:type="dxa" w:w="2484"/>
          </w:tcPr>
          <w:p>
            <w:r>
              <w:t>108–120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</w:tbl>
    <w:p>
      <w:r>
        <w:t>Day total: 8 hours. Trainer demonstrates the mechanism and evidence gate; learners execute detailed procedures from the Learner Guide and lab packs.</w:t>
      </w:r>
    </w:p>
    <w:p>
      <w:pPr>
        <w:pStyle w:val="Heading1"/>
      </w:pPr>
      <w:r>
        <w:t>Day 2 · 8 training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Time</w:t>
            </w:r>
          </w:p>
        </w:tc>
        <w:tc>
          <w:tcPr>
            <w:tcW w:type="dxa" w:w="2484"/>
          </w:tcPr>
          <w:p>
            <w:r>
              <w:t>Topic and evidence</w:t>
            </w:r>
          </w:p>
        </w:tc>
        <w:tc>
          <w:tcPr>
            <w:tcW w:type="dxa" w:w="2484"/>
          </w:tcPr>
          <w:p>
            <w:r>
              <w:t>Slide range</w:t>
            </w:r>
          </w:p>
        </w:tc>
        <w:tc>
          <w:tcPr>
            <w:tcW w:type="dxa" w:w="2484"/>
          </w:tcPr>
          <w:p>
            <w:r>
              <w:t>Method</w:t>
            </w:r>
          </w:p>
        </w:tc>
      </w:tr>
      <w:tr>
        <w:tc>
          <w:tcPr>
            <w:tcW w:type="dxa" w:w="2484"/>
          </w:tcPr>
          <w:p>
            <w:r>
              <w:t>00:00–04:00</w:t>
            </w:r>
          </w:p>
        </w:tc>
        <w:tc>
          <w:tcPr>
            <w:tcW w:type="dxa" w:w="2484"/>
          </w:tcPr>
          <w:p>
            <w:r>
              <w:t>Topic 3: Multi-Channel Content Creation and Agent Workflow Coordination; Labs 07–09; artifacts and review evidence</w:t>
            </w:r>
          </w:p>
        </w:tc>
        <w:tc>
          <w:tcPr>
            <w:tcW w:type="dxa" w:w="2484"/>
          </w:tcPr>
          <w:p>
            <w:r>
              <w:t>125–180</w:t>
            </w:r>
          </w:p>
        </w:tc>
        <w:tc>
          <w:tcPr>
            <w:tcW w:type="dxa" w:w="2484"/>
          </w:tcPr>
          <w:p>
            <w:r>
              <w:t>Visual models, worked GreenLeaf case, guided lab and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07: Agent workflow state machine · task ledger and typed handoff</w:t>
            </w:r>
          </w:p>
        </w:tc>
        <w:tc>
          <w:tcPr>
            <w:tcW w:type="dxa" w:w="2484"/>
          </w:tcPr>
          <w:p>
            <w:r>
              <w:t>126–142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08: Draft, edit and fact-check · source-linked article and review log</w:t>
            </w:r>
          </w:p>
        </w:tc>
        <w:tc>
          <w:tcPr>
            <w:tcW w:type="dxa" w:w="2484"/>
          </w:tcPr>
          <w:p>
            <w:r>
              <w:t>146–162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09: Multi-channel asset pack · email, social, visual brief and multimodal QA</w:t>
            </w:r>
          </w:p>
        </w:tc>
        <w:tc>
          <w:tcPr>
            <w:tcW w:type="dxa" w:w="2484"/>
          </w:tcPr>
          <w:p>
            <w:r>
              <w:t>166–178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04:00–08:00</w:t>
            </w:r>
          </w:p>
        </w:tc>
        <w:tc>
          <w:tcPr>
            <w:tcW w:type="dxa" w:w="2484"/>
          </w:tcPr>
          <w:p>
            <w:r>
              <w:t>Topic 4: Content Distribution, Strategy Guidelines and Responsible AI Practices; Labs 10–12; artifacts and review evidence</w:t>
            </w:r>
          </w:p>
        </w:tc>
        <w:tc>
          <w:tcPr>
            <w:tcW w:type="dxa" w:w="2484"/>
          </w:tcPr>
          <w:p>
            <w:r>
              <w:t>183–238</w:t>
            </w:r>
          </w:p>
        </w:tc>
        <w:tc>
          <w:tcPr>
            <w:tcW w:type="dxa" w:w="2484"/>
          </w:tcPr>
          <w:p>
            <w:r>
              <w:t>Visual models, worked GreenLeaf case, guided lab and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10: Distribution release gate · channel matrix, dependencies and approval record</w:t>
            </w:r>
          </w:p>
        </w:tc>
        <w:tc>
          <w:tcPr>
            <w:tcW w:type="dxa" w:w="2484"/>
          </w:tcPr>
          <w:p>
            <w:r>
              <w:t>184–200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11: Rights, privacy and disclosure · rights ledger, safe data and disclosure decision</w:t>
            </w:r>
          </w:p>
        </w:tc>
        <w:tc>
          <w:tcPr>
            <w:tcW w:type="dxa" w:w="2484"/>
          </w:tcPr>
          <w:p>
            <w:r>
              <w:t>204–220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12: Run evaluation and governance · dashboard, experiment plan and execution playbook</w:t>
            </w:r>
          </w:p>
        </w:tc>
        <w:tc>
          <w:tcPr>
            <w:tcW w:type="dxa" w:w="2484"/>
          </w:tcPr>
          <w:p>
            <w:r>
              <w:t>224–236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</w:tbl>
    <w:p>
      <w:r>
        <w:t>Day total: 8 hours. Trainer demonstrates the mechanism and evidence gate; learners execute detailed procedures from the Learner Guide and lab packs.</w:t>
      </w:r>
    </w:p>
    <w:p>
      <w:pPr>
        <w:pStyle w:val="Heading1"/>
      </w:pPr>
      <w:r>
        <w:t>Assessment briefing</w:t>
      </w:r>
    </w:p>
    <w:p>
      <w:r>
        <w:t>WA: six open-ended K1–K6 questions, 60 minutes. PP: four practical tasks, A1–A7, 120 minutes. Candidate papers only are delivered through LMS-TMS. The assessor keeps model answers private.</w:t>
      </w:r>
    </w:p>
    <w:sectPr w:rsidR="00FC693F" w:rsidRPr="0006063C" w:rsidSect="00034616">
      <w:footerReference w:type="default" r:id="rId10"/>
      <w:pgSz w:w="12240" w:h="15840"/>
      <w:pgMar w:top="1008" w:right="1152" w:bottom="936" w:left="1152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2026 Tertiary Infotech Academy Pte Ltd · TGS-2023036153 · v1.0 · Page </w:t>
    </w:r>
    <w:fldSimple w:instr="PAGE"/>
    <w: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