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011680" cy="201168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2011680" cy="2011680"/>
                    </a:xfrm>
                    <a:prstGeom prst="rect"/>
                  </pic:spPr>
                </pic:pic>
              </a:graphicData>
            </a:graphic>
          </wp:inline>
        </w:drawing>
      </w:r>
    </w:p>
    <w:p>
      <w:pPr>
        <w:pStyle w:val="Title"/>
        <w:jc w:val="center"/>
      </w:pPr>
      <w:r>
        <w:t>Learner Guide</w:t>
      </w:r>
    </w:p>
    <w:p>
      <w:pPr>
        <w:jc w:val="center"/>
      </w:pPr>
      <w:r>
        <w:rPr>
          <w:rFonts w:ascii="Arial" w:hAnsi="Arial"/>
          <w:b w:val="0"/>
        </w:rPr>
        <w:t>For</w:t>
      </w:r>
    </w:p>
    <w:p>
      <w:pPr>
        <w:jc w:val="center"/>
      </w:pPr>
      <w:r>
        <w:rPr>
          <w:rFonts w:ascii="Arial" w:hAnsi="Arial"/>
          <w:b/>
        </w:rPr>
        <w:t>Sustainability Reporting and GRI Standards</w:t>
      </w:r>
    </w:p>
    <w:p>
      <w:pPr>
        <w:jc w:val="center"/>
      </w:pPr>
      <w:r>
        <w:rPr>
          <w:rFonts w:ascii="Arial" w:hAnsi="Arial"/>
          <w:b w:val="0"/>
        </w:rPr>
        <w:t>TGS Ref No: TGS-2023036644</w:t>
      </w:r>
    </w:p>
    <w:p>
      <w:pPr>
        <w:jc w:val="center"/>
      </w:pPr>
      <w:r>
        <w:rPr>
          <w:rFonts w:ascii="Arial" w:hAnsi="Arial"/>
          <w:b w:val="0"/>
        </w:rPr>
        <w:t>Conducted by</w:t>
      </w:r>
    </w:p>
    <w:p>
      <w:pPr>
        <w:jc w:val="center"/>
      </w:pPr>
      <w:r>
        <w:rPr>
          <w:rFonts w:ascii="Arial" w:hAnsi="Arial"/>
          <w:b/>
        </w:rPr>
        <w:t>Tertiary Infotech Academy Pte Ltd</w:t>
      </w:r>
    </w:p>
    <w:p>
      <w:pPr>
        <w:jc w:val="center"/>
      </w:pPr>
      <w:r>
        <w:rPr>
          <w:rFonts w:ascii="Arial" w:hAnsi="Arial"/>
          <w:b w:val="0"/>
        </w:rPr>
        <w:t>UEN: 201200696W</w:t>
      </w:r>
    </w:p>
    <w:p>
      <w:pPr>
        <w:jc w:val="center"/>
      </w:pPr>
      <w:r>
        <w:rPr>
          <w:rFonts w:ascii="Arial" w:hAnsi="Arial"/>
          <w:b w:val="0"/>
        </w:rPr>
        <w:t>Version 3.0</w:t>
      </w:r>
    </w:p>
    <w:p>
      <w:r>
        <w:br w:type="page"/>
      </w:r>
    </w:p>
    <w:p>
      <w:pPr>
        <w:pStyle w:val="Heading1"/>
      </w:pPr>
      <w:r>
        <w:t>Document Version Control Record</w:t>
      </w:r>
    </w:p>
    <w:tbl>
      <w:tblPr>
        <w:tblW w:type="auto" w:w="0"/>
        <w:jc w:val="center"/>
        <w:tblLook w:firstColumn="1" w:firstRow="1" w:lastColumn="0" w:lastRow="0" w:noHBand="0" w:noVBand="1" w:val="04A0"/>
      </w:tblPr>
      <w:tblGrid>
        <w:gridCol w:w="2520"/>
        <w:gridCol w:w="2520"/>
        <w:gridCol w:w="2520"/>
        <w:gridCol w:w="2520"/>
      </w:tblGrid>
      <w:tr>
        <w:tc>
          <w:tcPr>
            <w:tcW w:type="dxa" w:w="2520"/>
            <w:vAlign w:val="center"/>
            <w:shd w:fill="1F6FEB"/>
          </w:tcPr>
          <w:p>
            <w:r>
              <w:rPr>
                <w:rFonts w:ascii="Arial" w:hAnsi="Arial"/>
                <w:b/>
                <w:color w:val="FFFFFF"/>
                <w:sz w:val="19"/>
              </w:rPr>
              <w:t>Version Number</w:t>
            </w:r>
          </w:p>
        </w:tc>
        <w:tc>
          <w:tcPr>
            <w:tcW w:type="dxa" w:w="2520"/>
            <w:vAlign w:val="center"/>
            <w:shd w:fill="1F6FEB"/>
          </w:tcPr>
          <w:p>
            <w:r>
              <w:rPr>
                <w:rFonts w:ascii="Arial" w:hAnsi="Arial"/>
                <w:b/>
                <w:color w:val="FFFFFF"/>
                <w:sz w:val="19"/>
              </w:rPr>
              <w:t>Effective Date of Release</w:t>
            </w:r>
          </w:p>
        </w:tc>
        <w:tc>
          <w:tcPr>
            <w:tcW w:type="dxa" w:w="2520"/>
            <w:vAlign w:val="center"/>
            <w:shd w:fill="1F6FEB"/>
          </w:tcPr>
          <w:p>
            <w:r>
              <w:rPr>
                <w:rFonts w:ascii="Arial" w:hAnsi="Arial"/>
                <w:b/>
                <w:color w:val="FFFFFF"/>
                <w:sz w:val="19"/>
              </w:rPr>
              <w:t>Summary of Included Changes</w:t>
            </w:r>
          </w:p>
        </w:tc>
        <w:tc>
          <w:tcPr>
            <w:tcW w:type="dxa" w:w="2520"/>
            <w:vAlign w:val="center"/>
            <w:shd w:fill="1F6FEB"/>
          </w:tcPr>
          <w:p>
            <w:r>
              <w:rPr>
                <w:rFonts w:ascii="Arial" w:hAnsi="Arial"/>
                <w:b/>
                <w:color w:val="FFFFFF"/>
                <w:sz w:val="19"/>
              </w:rPr>
              <w:t>Author</w:t>
            </w:r>
          </w:p>
        </w:tc>
      </w:tr>
      <w:tr>
        <w:tc>
          <w:tcPr>
            <w:tcW w:type="dxa" w:w="2520"/>
            <w:vAlign w:val="center"/>
          </w:tcPr>
          <w:p>
            <w:r>
              <w:rPr>
                <w:rFonts w:ascii="Arial" w:hAnsi="Arial"/>
                <w:b w:val="0"/>
                <w:color w:val="000000"/>
                <w:sz w:val="19"/>
              </w:rPr>
              <w:t>1.0</w:t>
            </w:r>
          </w:p>
        </w:tc>
        <w:tc>
          <w:tcPr>
            <w:tcW w:type="dxa" w:w="2520"/>
            <w:vAlign w:val="center"/>
          </w:tcPr>
          <w:p>
            <w:r>
              <w:rPr>
                <w:rFonts w:ascii="Arial" w:hAnsi="Arial"/>
                <w:b w:val="0"/>
                <w:color w:val="000000"/>
                <w:sz w:val="19"/>
              </w:rPr>
              <w:t>2 February 2023</w:t>
            </w:r>
          </w:p>
        </w:tc>
        <w:tc>
          <w:tcPr>
            <w:tcW w:type="dxa" w:w="2520"/>
            <w:vAlign w:val="center"/>
          </w:tcPr>
          <w:p>
            <w:r>
              <w:rPr>
                <w:rFonts w:ascii="Arial" w:hAnsi="Arial"/>
                <w:b w:val="0"/>
                <w:color w:val="000000"/>
                <w:sz w:val="19"/>
              </w:rPr>
              <w:t>First version</w:t>
            </w:r>
          </w:p>
        </w:tc>
        <w:tc>
          <w:tcPr>
            <w:tcW w:type="dxa" w:w="2520"/>
            <w:vAlign w:val="center"/>
          </w:tcPr>
          <w:p>
            <w:r>
              <w:rPr>
                <w:rFonts w:ascii="Arial" w:hAnsi="Arial"/>
                <w:b w:val="0"/>
                <w:color w:val="000000"/>
                <w:sz w:val="19"/>
              </w:rPr>
              <w:t>Tertiary Infotech Academy Pte Ltd</w:t>
            </w:r>
          </w:p>
        </w:tc>
      </w:tr>
      <w:tr>
        <w:tc>
          <w:tcPr>
            <w:tcW w:type="dxa" w:w="2520"/>
            <w:vAlign w:val="center"/>
          </w:tcPr>
          <w:p>
            <w:r>
              <w:rPr>
                <w:rFonts w:ascii="Arial" w:hAnsi="Arial"/>
                <w:b w:val="0"/>
                <w:color w:val="000000"/>
                <w:sz w:val="19"/>
              </w:rPr>
              <w:t>2.0</w:t>
            </w:r>
          </w:p>
        </w:tc>
        <w:tc>
          <w:tcPr>
            <w:tcW w:type="dxa" w:w="2520"/>
            <w:vAlign w:val="center"/>
          </w:tcPr>
          <w:p>
            <w:r>
              <w:rPr>
                <w:rFonts w:ascii="Arial" w:hAnsi="Arial"/>
                <w:b w:val="0"/>
                <w:color w:val="000000"/>
                <w:sz w:val="19"/>
              </w:rPr>
              <w:t>17 October 2025</w:t>
            </w:r>
          </w:p>
        </w:tc>
        <w:tc>
          <w:tcPr>
            <w:tcW w:type="dxa" w:w="2520"/>
            <w:vAlign w:val="center"/>
          </w:tcPr>
          <w:p>
            <w:r>
              <w:rPr>
                <w:rFonts w:ascii="Arial" w:hAnsi="Arial"/>
                <w:b w:val="0"/>
                <w:color w:val="000000"/>
                <w:sz w:val="19"/>
              </w:rPr>
              <w:t>Updated organisation name</w:t>
            </w:r>
          </w:p>
        </w:tc>
        <w:tc>
          <w:tcPr>
            <w:tcW w:type="dxa" w:w="2520"/>
            <w:vAlign w:val="center"/>
          </w:tcPr>
          <w:p>
            <w:r>
              <w:rPr>
                <w:rFonts w:ascii="Arial" w:hAnsi="Arial"/>
                <w:b w:val="0"/>
                <w:color w:val="000000"/>
                <w:sz w:val="19"/>
              </w:rPr>
              <w:t>Tertiary Infotech Academy Pte Ltd</w:t>
            </w:r>
          </w:p>
        </w:tc>
      </w:tr>
      <w:tr>
        <w:tc>
          <w:tcPr>
            <w:tcW w:type="dxa" w:w="2520"/>
            <w:vAlign w:val="center"/>
          </w:tcPr>
          <w:p>
            <w:r>
              <w:rPr>
                <w:rFonts w:ascii="Arial" w:hAnsi="Arial"/>
                <w:b w:val="0"/>
                <w:color w:val="000000"/>
                <w:sz w:val="19"/>
              </w:rPr>
              <w:t>3.0</w:t>
            </w:r>
          </w:p>
        </w:tc>
        <w:tc>
          <w:tcPr>
            <w:tcW w:type="dxa" w:w="2520"/>
            <w:vAlign w:val="center"/>
          </w:tcPr>
          <w:p>
            <w:r>
              <w:rPr>
                <w:rFonts w:ascii="Arial" w:hAnsi="Arial"/>
                <w:b w:val="0"/>
                <w:color w:val="000000"/>
                <w:sz w:val="19"/>
              </w:rPr>
              <w:t>11 September 2026</w:t>
            </w:r>
          </w:p>
        </w:tc>
        <w:tc>
          <w:tcPr>
            <w:tcW w:type="dxa" w:w="2520"/>
            <w:vAlign w:val="center"/>
          </w:tcPr>
          <w:p>
            <w:r>
              <w:rPr>
                <w:rFonts w:ascii="Arial" w:hAnsi="Arial"/>
                <w:b w:val="0"/>
                <w:color w:val="000000"/>
                <w:sz w:val="19"/>
              </w:rPr>
              <w:t>Rebuilt from original v9 with current GRI, Singapore requirements, visual evidence controls and ten aligned activities</w:t>
            </w:r>
          </w:p>
        </w:tc>
        <w:tc>
          <w:tcPr>
            <w:tcW w:type="dxa" w:w="2520"/>
            <w:vAlign w:val="center"/>
          </w:tcPr>
          <w:p>
            <w:r>
              <w:rPr>
                <w:rFonts w:ascii="Arial" w:hAnsi="Arial"/>
                <w:b w:val="0"/>
                <w:color w:val="000000"/>
                <w:sz w:val="19"/>
              </w:rPr>
              <w:t>Tertiary Infotech Academy Pte Ltd</w:t>
            </w:r>
          </w:p>
        </w:tc>
      </w:tr>
    </w:tbl>
    <w:p>
      <w:pPr>
        <w:pStyle w:val="Heading1"/>
      </w:pPr>
      <w:r>
        <w:t>Table of Contents</w:t>
      </w:r>
    </w:p>
    <w:p>
      <w:r>
        <w:fldChar w:fldCharType="begin"/>
        <w:instrText xml:space="preserve">TOC \o "1-3" \h \z \u</w:instrText>
        <w:fldChar w:fldCharType="end"/>
      </w:r>
    </w:p>
    <w:p>
      <w:pPr>
        <w:pStyle w:val="ListBullet"/>
        <w:spacing w:after="0"/>
      </w:pPr>
      <w:r>
        <w:t>Course Overview and Learning Outcomes</w:t>
      </w:r>
      <w:r>
        <w:t xml:space="preserve">  ·····  3</w:t>
      </w:r>
    </w:p>
    <w:p>
      <w:pPr>
        <w:pStyle w:val="ListBullet"/>
        <w:spacing w:after="0"/>
      </w:pPr>
      <w:r>
        <w:t>Learning Unit 1</w:t>
      </w:r>
      <w:r>
        <w:t xml:space="preserve">  ···························  3</w:t>
      </w:r>
    </w:p>
    <w:p>
      <w:pPr>
        <w:pStyle w:val="ListBullet"/>
        <w:spacing w:after="0"/>
      </w:pPr>
      <w:r>
        <w:t>Learning Unit 2</w:t>
      </w:r>
      <w:r>
        <w:t xml:space="preserve">  ···························  11</w:t>
      </w:r>
    </w:p>
    <w:p>
      <w:pPr>
        <w:pStyle w:val="ListBullet"/>
        <w:spacing w:after="0"/>
      </w:pPr>
      <w:r>
        <w:t>Learning Unit 3</w:t>
      </w:r>
      <w:r>
        <w:t xml:space="preserve">  ···························  27</w:t>
      </w:r>
    </w:p>
    <w:p>
      <w:pPr>
        <w:pStyle w:val="ListBullet"/>
        <w:spacing w:after="0"/>
      </w:pPr>
      <w:r>
        <w:t>Assessment Preparation</w:t>
      </w:r>
      <w:r>
        <w:t xml:space="preserve">  ····················  32</w:t>
      </w:r>
    </w:p>
    <w:p>
      <w:pPr>
        <w:pStyle w:val="ListBullet"/>
        <w:spacing w:after="0"/>
      </w:pPr>
      <w:r>
        <w:t>References</w:t>
      </w:r>
      <w:r>
        <w:t xml:space="preserve">  ································  32</w:t>
      </w:r>
    </w:p>
    <w:p>
      <w:r>
        <w:br w:type="page"/>
      </w:r>
    </w:p>
    <w:p>
      <w:pPr>
        <w:pStyle w:val="Heading1"/>
      </w:pPr>
      <w:r>
        <w:t>Course Overview</w:t>
      </w:r>
    </w:p>
    <w:p>
      <w:r>
        <w:t>This guide is the working manual for planning, drafting, checking and submitting an impact-focused sustainability report using the GRI Standards. It retains the accredited three-learning-unit design and adds current Singapore reporting context, reproducible evidence controls and ten workplace activities.</w:t>
      </w:r>
    </w:p>
    <w:p>
      <w:pPr>
        <w:pStyle w:val="Heading1"/>
      </w:pPr>
      <w:r>
        <w:t>Learning Outcomes</w:t>
      </w:r>
    </w:p>
    <w:p>
      <w:pPr>
        <w:pStyle w:val="ListBullet"/>
      </w:pPr>
      <w:r>
        <w:t>LO1: Identify objectives of sustainability reports in accordance with organisational procedures.</w:t>
      </w:r>
    </w:p>
    <w:p>
      <w:pPr>
        <w:pStyle w:val="ListBullet"/>
      </w:pPr>
      <w:r>
        <w:t>LO2: Structure and collaborate with stakeholders on sustainability reporting based on GRI Standards.</w:t>
      </w:r>
    </w:p>
    <w:p>
      <w:pPr>
        <w:pStyle w:val="ListBullet"/>
      </w:pPr>
      <w:r>
        <w:t>LO3: Proofread and submit sustainability reports with data displayed effectively to relevant stakeholders.</w:t>
      </w:r>
    </w:p>
    <w:p>
      <w:pPr>
        <w:pStyle w:val="Heading1"/>
      </w:pPr>
      <w:r>
        <w:t>How to Use This Guide</w:t>
      </w:r>
    </w:p>
    <w:p>
      <w:r>
        <w:t>Read the mechanism notes before each Activity. Follow the detailed procedure in this guide or the matching Activity README. Record assumptions and evidence links as you work. The slides explain mechanisms and review decisions; this guide carries the detailed steps.</w:t>
      </w:r>
    </w:p>
    <w:p>
      <w:pPr>
        <w:pStyle w:val="Heading1"/>
      </w:pPr>
      <w:r>
        <w:t>Learning Unit 1 Objectives Boundaries and Obligations</w:t>
      </w:r>
    </w:p>
    <w:p>
      <w:pPr>
        <w:pStyle w:val="Heading2"/>
      </w:pPr>
      <w:r>
        <w:t>Impact materiality sets the GRI lens</w:t>
      </w:r>
    </w:p>
    <w:p>
      <w:r>
        <w:t>Concrete contract: actual and potential impacts on economy, environment and people.</w:t>
      </w:r>
    </w:p>
    <w:p>
      <w:r>
        <w:t>Decision rule: prioritise by significance of impact, not investor interest alone. Failure to watch: using only financial materiality omits affected people.</w:t>
      </w:r>
    </w:p>
    <w:p>
      <w:r>
        <w:t>Verification: impact register records positive/negative, actual/potential and value-chain location. Source basis: GRI 1 Foundation 2021, Global Reporting Initiative.</w:t>
      </w:r>
    </w:p>
    <w:p>
      <w:pPr>
        <w:pStyle w:val="Heading2"/>
      </w:pPr>
      <w:r>
        <w:t>Reporting objectives become decision tests</w:t>
      </w:r>
    </w:p>
    <w:p>
      <w:r>
        <w:t>Concrete contract: objective statement names audience, decision and reporting period.</w:t>
      </w:r>
    </w:p>
    <w:p>
      <w:r>
        <w:t>Decision rule: retain content only when it informs an identified user decision. Failure to watch: publishing activity lists without impacts or outcomes.</w:t>
      </w:r>
    </w:p>
    <w:p>
      <w:r>
        <w:t>Verification: purpose-to-disclosure matrix links each section to a decision and owner. Source basis: GRI 1 Foundation 2021, Global Reporting Initiative.</w:t>
      </w:r>
    </w:p>
    <w:p>
      <w:pPr>
        <w:pStyle w:val="Heading2"/>
      </w:pPr>
      <w:r>
        <w:t>A reporting procedure needs named control owners</w:t>
      </w:r>
    </w:p>
    <w:p>
      <w:r>
        <w:t>Concrete contract: RACI across data owner, topic owner, reviewer and Board approver.</w:t>
      </w:r>
    </w:p>
    <w:p>
      <w:r>
        <w:t>Decision rule: one accountable owner per disclosure; preparer cannot self-approve. Failure to watch: orphan metrics and unreviewed narrative claims.</w:t>
      </w:r>
    </w:p>
    <w:p>
      <w:r>
        <w:t>Verification: signed disclosure checklist and approval log. Source basis: Hasan, Sustainability Accounting and Reporting Theory and Practice; Bernerberg, Sustainability Reporting Framework; Hussey and Ong, Financial and Sustainability Reporting.</w:t>
      </w:r>
    </w:p>
    <w:p>
      <w:pPr>
        <w:pStyle w:val="Heading2"/>
      </w:pPr>
      <w:r>
        <w:t>Reporting boundary follows controlled entities and impacts</w:t>
      </w:r>
    </w:p>
    <w:p>
      <w:r>
        <w:t>Concrete contract: entities in consolidated financial statements plus boundary exceptions.</w:t>
      </w:r>
    </w:p>
    <w:p>
      <w:r>
        <w:t>Decision rule: reconcile sustainability entities to financial consolidation scope. Failure to watch: excluding high-impact subsidiaries without explanation.</w:t>
      </w:r>
    </w:p>
    <w:p>
      <w:r>
        <w:t>Verification: entity register with inclusion reason and restatement flag. Source basis: GRI 2 General Disclosures 2021, Global Reporting Initiative.</w:t>
      </w:r>
    </w:p>
    <w:p>
      <w:pPr>
        <w:pStyle w:val="Heading2"/>
      </w:pPr>
      <w:r>
        <w:t>Value-chain boundary reaches beyond owned operations</w:t>
      </w:r>
    </w:p>
    <w:p>
      <w:r>
        <w:t>Concrete contract: upstream, own operations and downstream impact locations.</w:t>
      </w:r>
    </w:p>
    <w:p>
      <w:r>
        <w:t>Decision rule: include business relationships where significant impacts occur. Failure to watch: Scope 3 or labour impacts disappear at the legal boundary.</w:t>
      </w:r>
    </w:p>
    <w:p>
      <w:r>
        <w:t>Verification: value-chain map names supplier tier, activity, geography and evidence source. Source basis: GRI 3 Material Topics 2021, Global Reporting Initiative.</w:t>
      </w:r>
    </w:p>
    <w:p>
      <w:pPr>
        <w:pStyle w:val="Heading2"/>
      </w:pPr>
      <w:r>
        <w:t>Stakeholder mapping is evidence selection</w:t>
      </w:r>
    </w:p>
    <w:p>
      <w:r>
        <w:t>Concrete contract: stakeholder group, relationship, affected interest, channel and frequency.</w:t>
      </w:r>
    </w:p>
    <w:p>
      <w:r>
        <w:t>Decision rule: prioritise affected stakeholders and legitimate representatives. Failure to watch: surveying only investors creates a biased topic list.</w:t>
      </w:r>
    </w:p>
    <w:p>
      <w:r>
        <w:t>Verification: engagement register retains invitation, response and management action. Source basis: GRI 2 General Disclosures 2021, Global Reporting Initiative.</w:t>
      </w:r>
    </w:p>
    <w:p>
      <w:pPr>
        <w:pStyle w:val="Heading2"/>
      </w:pPr>
      <w:r>
        <w:t>Engagement records must close the feedback loop</w:t>
      </w:r>
    </w:p>
    <w:p>
      <w:r>
        <w:t>Concrete contract: issue raised, evidence, response owner, decision and communication back.</w:t>
      </w:r>
    </w:p>
    <w:p>
      <w:r>
        <w:t>Decision rule: escalate unresolved severe impacts regardless of popularity. Failure to watch: consultation becomes performative with no decision trace.</w:t>
      </w:r>
    </w:p>
    <w:p>
      <w:r>
        <w:t>Verification: minutes show what changed, what did not and why. Source basis: GRI 2 General Disclosures 2021, Global Reporting Initiative.</w:t>
      </w:r>
    </w:p>
    <w:p>
      <w:pPr>
        <w:pStyle w:val="Heading2"/>
      </w:pPr>
      <w:r>
        <w:t>Risks and opportunities require separate impact logic</w:t>
      </w:r>
    </w:p>
    <w:p>
      <w:r>
        <w:t>Concrete contract: event, cause, horizon, likelihood, magnitude and response.</w:t>
      </w:r>
    </w:p>
    <w:p>
      <w:r>
        <w:t>Decision rule: separate impact on people/planet from financial effect on enterprise. Failure to watch: mixing opportunity marketing with unmanaged negative impacts.</w:t>
      </w:r>
    </w:p>
    <w:p>
      <w:r>
        <w:t>Verification: risk register cross-references material topic and financial line item. Source basis: SAP, What is sustainability reporting and how to do it right.</w:t>
      </w:r>
    </w:p>
    <w:p>
      <w:pPr>
        <w:pStyle w:val="Heading2"/>
      </w:pPr>
      <w:r>
        <w:t>Framework choice follows audience and obligation</w:t>
      </w:r>
    </w:p>
    <w:p>
      <w:r>
        <w:t>Concrete contract: GRI impact reporting; ISSB investor-focused financial disclosure; SGX rule overlay.</w:t>
      </w:r>
    </w:p>
    <w:p>
      <w:r>
        <w:t>Decision rule: use multiple frameworks only with a disclosed crosswalk. Failure to watch: framework stacking produces duplicate metrics and conflicting boundaries.</w:t>
      </w:r>
    </w:p>
    <w:p>
      <w:r>
        <w:t>Verification: framework register records requirement, owner, location and assurance status. Source basis: SAP, What is sustainability reporting and how to do it right.</w:t>
      </w:r>
    </w:p>
    <w:p>
      <w:pPr>
        <w:pStyle w:val="Heading2"/>
      </w:pPr>
      <w:r>
        <w:t>SGX Rule 711A fixes publication timing</w:t>
      </w:r>
    </w:p>
    <w:p>
      <w:r>
        <w:t>Concrete contract: report with annual report, or within five months when externally assured.</w:t>
      </w:r>
    </w:p>
    <w:p>
      <w:r>
        <w:t>Decision rule: set backward calendar from financial year end and approval date. Failure to watch: late data collection breaks Board review and same-time issue.</w:t>
      </w:r>
    </w:p>
    <w:p>
      <w:r>
        <w:t>Verification: publication calendar includes data freeze, review, Board and release gates. Source basis: SGX Mainboard Rules 711A and 711B, current at 11 September 2026.</w:t>
      </w:r>
    </w:p>
    <w:p>
      <w:pPr>
        <w:pStyle w:val="Heading2"/>
      </w:pPr>
      <w:r>
        <w:t>SGX Rule 711B defines six primary components</w:t>
      </w:r>
    </w:p>
    <w:p>
      <w:r>
        <w:t>Concrete contract: material ESG factors; climate; policies/performance; targets; framework; Board statement.</w:t>
      </w:r>
    </w:p>
    <w:p>
      <w:r>
        <w:t>Decision rule: content index must evidence every applicable component. Failure to watch: a glossy report without targets or Board statement is incomplete.</w:t>
      </w:r>
    </w:p>
    <w:p>
      <w:r>
        <w:t>Verification: 711B compliance checklist points to exact page and evidence owner. Source basis: SGX Mainboard Rules 711A and 711B, current at 11 September 2026.</w:t>
      </w:r>
    </w:p>
    <w:p>
      <w:pPr>
        <w:pStyle w:val="Heading2"/>
      </w:pPr>
      <w:r>
        <w:t>Internal review is a mandatory process control</w:t>
      </w:r>
    </w:p>
    <w:p>
      <w:r>
        <w:t>Concrete contract: review scope, reviewer competence, exceptions and closure evidence.</w:t>
      </w:r>
    </w:p>
    <w:p>
      <w:r>
        <w:t>Decision rule: close high-risk exceptions before Board approval. Failure to watch: review sign-off with unresolved data gaps misstates readiness.</w:t>
      </w:r>
    </w:p>
    <w:p>
      <w:r>
        <w:t>Verification: review log shows sample, finding, owner, due date and closure. Source basis: SGX Mainboard Rules 711A and 711B, current at 11 September 2026.</w:t>
      </w:r>
    </w:p>
    <w:p>
      <w:pPr>
        <w:pStyle w:val="Heading2"/>
      </w:pPr>
      <w:r>
        <w:t>Singapore climate reporting is tiered and phased</w:t>
      </w:r>
    </w:p>
    <w:p>
      <w:r>
        <w:t>Concrete contract: listed company tier and Large NLCo thresholds: revenue S$1b and assets S$500m.</w:t>
      </w:r>
    </w:p>
    <w:p>
      <w:r>
        <w:t>Decision rule: apply the current tier timetable and document transition reliefs. Failure to watch: assuming all Scope 3 requirements start together creates false claims.</w:t>
      </w:r>
    </w:p>
    <w:p>
      <w:r>
        <w:t>Verification: applicability memo cites entity type, market cap, FY and required scopes. Source basis: ACRA Sustainability reporting and assurance requirements, updated 27 July 2026.</w:t>
      </w:r>
    </w:p>
    <w:p>
      <w:r>
        <w:br w:type="page"/>
      </w:r>
    </w:p>
    <w:p>
      <w:pPr>
        <w:pStyle w:val="Heading1"/>
      </w:pPr>
      <w:r>
        <w:t>Activity 1 Set the reporting objective and SGX applicability</w:t>
      </w:r>
    </w:p>
    <w:p>
      <w:r>
        <w:rPr>
          <w:b/>
        </w:rPr>
        <w:t xml:space="preserve">Learning outcome: </w:t>
      </w:r>
      <w:r>
        <w:t>LO1</w:t>
      </w:r>
    </w:p>
    <w:p>
      <w:r>
        <w:rPr>
          <w:b/>
        </w:rPr>
        <w:t xml:space="preserve">Duration: </w:t>
      </w:r>
      <w:r>
        <w:t>45 minutes</w:t>
      </w:r>
    </w:p>
    <w:p>
      <w:r>
        <w:rPr>
          <w:b/>
        </w:rPr>
        <w:t xml:space="preserve">Real use case: </w:t>
      </w:r>
      <w:r>
        <w:t>City Developments Limited</w:t>
      </w:r>
    </w:p>
    <w:p>
      <w:r>
        <w:rPr>
          <w:b/>
        </w:rPr>
        <w:t xml:space="preserve">Objective: </w:t>
      </w:r>
      <w:r>
        <w:t>Write a decision-useful reporting objective and determine which SGX 711A/711B components apply.</w:t>
      </w:r>
    </w:p>
    <w:p>
      <w:r>
        <w:rPr>
          <w:b/>
        </w:rPr>
        <w:t xml:space="preserve">Inputs: </w:t>
      </w:r>
      <w:r>
        <w:t>CDL reporting page, SGX Rules 711A/711B, applicability worksheet</w:t>
      </w:r>
    </w:p>
    <w:p>
      <w:r>
        <w:rPr>
          <w:b/>
        </w:rPr>
        <w:t xml:space="preserve">Deliverable: </w:t>
      </w:r>
      <w:r>
        <w:t>Approved objective statement and applicability memo</w:t>
      </w:r>
    </w:p>
    <w:p>
      <w:pPr>
        <w:pStyle w:val="Heading2"/>
      </w:pPr>
      <w:r>
        <w:t>Detailed Procedure</w:t>
      </w:r>
    </w:p>
    <w:p>
      <w:pPr>
        <w:pStyle w:val="Heading3"/>
      </w:pPr>
      <w:r>
        <w:t>Step 1</w:t>
      </w:r>
    </w:p>
    <w:p>
      <w:r>
        <w:t>Read the public report profile and identify report users.</w:t>
      </w:r>
    </w:p>
    <w:p>
      <w:r>
        <w:t>Record the source, boundary, owner, judgement and evidence link in the matching worksheet. If the required evidence is unavailable, do not invent a value; log the limitation, action owner and target resolution date.</w:t>
      </w:r>
    </w:p>
    <w:p>
      <w:pPr>
        <w:pStyle w:val="Heading3"/>
      </w:pPr>
      <w:r>
        <w:t>Step 2</w:t>
      </w:r>
    </w:p>
    <w:p>
      <w:r>
        <w:t>Write one decision each user must make.</w:t>
      </w:r>
    </w:p>
    <w:p>
      <w:r>
        <w:t>Record the source, boundary, owner, judgement and evidence link in the matching worksheet. If the required evidence is unavailable, do not invent a value; log the limitation, action owner and target resolution date.</w:t>
      </w:r>
    </w:p>
    <w:p>
      <w:pPr>
        <w:pStyle w:val="Heading3"/>
      </w:pPr>
      <w:r>
        <w:t>Step 3</w:t>
      </w:r>
    </w:p>
    <w:p>
      <w:r>
        <w:t>Complete the 711A timing and 711B component checklist.</w:t>
      </w:r>
    </w:p>
    <w:p>
      <w:r>
        <w:t>Record the source, boundary, owner, judgement and evidence link in the matching worksheet. If the required evidence is unavailable, do not invent a value; log the limitation, action owner and target resolution date.</w:t>
      </w:r>
    </w:p>
    <w:p>
      <w:pPr>
        <w:pStyle w:val="Heading3"/>
      </w:pPr>
      <w:r>
        <w:t>Step 4</w:t>
      </w:r>
    </w:p>
    <w:p>
      <w:r>
        <w:t>Draft an objective naming audience, decision, period and boundary.</w:t>
      </w:r>
    </w:p>
    <w:p>
      <w:r>
        <w:t>Record the source, boundary, owner, judgement and evidence link in the matching worksheet. If the required evidence is unavailable, do not invent a value; log the limitation, action owner and target resolution date.</w:t>
      </w:r>
    </w:p>
    <w:p>
      <w:pPr>
        <w:pStyle w:val="Heading3"/>
      </w:pPr>
      <w:r>
        <w:t>Step 5</w:t>
      </w:r>
    </w:p>
    <w:p>
      <w:r>
        <w:t>Peer-review the objective against accuracy, balance and verifiability.</w:t>
      </w:r>
    </w:p>
    <w:p>
      <w:r>
        <w:t>Record the source, boundary, owner, judgement and evidence link in the matching worksheet. If the required evidence is unavailable, do not invent a value; log the limitation, action owner and target resolution date.</w:t>
      </w:r>
    </w:p>
    <w:p>
      <w:pPr>
        <w:pStyle w:val="Heading2"/>
      </w:pPr>
      <w:r>
        <w:t>Verification and Troubleshooting</w:t>
      </w:r>
    </w:p>
    <w:p>
      <w:r>
        <w:t>All six 711B components are marked applicable/not applicable with evidence; the objective names audience, decision, period and boundary.</w:t>
      </w:r>
    </w:p>
    <w:p>
      <w:pPr>
        <w:pStyle w:val="ListBullet"/>
      </w:pPr>
      <w:r>
        <w:t>A total does not reconcile: check period, entity scope, units and duplicate rows.</w:t>
      </w:r>
    </w:p>
    <w:p>
      <w:pPr>
        <w:pStyle w:val="ListBullet"/>
      </w:pPr>
      <w:r>
        <w:t>A claim lacks evidence: move it to the issue log and obtain owner approval before use.</w:t>
      </w:r>
    </w:p>
    <w:p>
      <w:pPr>
        <w:pStyle w:val="ListBullet"/>
      </w:pPr>
      <w:r>
        <w:t>A stakeholder or topic was excluded: record the threshold, rationale and governance decision.</w:t>
      </w:r>
    </w:p>
    <w:p>
      <w:pPr>
        <w:pStyle w:val="Heading2"/>
      </w:pPr>
      <w:r>
        <w:t>Cleanup and Handover</w:t>
      </w:r>
    </w:p>
    <w:p>
      <w:r>
        <w:t>Save the final learner files in this Activity folder, remove personal or confidential data, retain source URLs and version dates, and submit only the requested artifact. Keep the completed worksheet with the review comments as the evidence trail.</w:t>
      </w:r>
    </w:p>
    <w:p>
      <w:r>
        <w:br w:type="page"/>
      </w:r>
    </w:p>
    <w:p>
      <w:pPr>
        <w:pStyle w:val="Heading1"/>
      </w:pPr>
      <w:r>
        <w:t>Activity 2 Map the reporting boundary and value chain</w:t>
      </w:r>
    </w:p>
    <w:p>
      <w:r>
        <w:rPr>
          <w:b/>
        </w:rPr>
        <w:t xml:space="preserve">Learning outcome: </w:t>
      </w:r>
      <w:r>
        <w:t>LO1</w:t>
      </w:r>
    </w:p>
    <w:p>
      <w:r>
        <w:rPr>
          <w:b/>
        </w:rPr>
        <w:t xml:space="preserve">Duration: </w:t>
      </w:r>
      <w:r>
        <w:t>50 minutes</w:t>
      </w:r>
    </w:p>
    <w:p>
      <w:r>
        <w:rPr>
          <w:b/>
        </w:rPr>
        <w:t xml:space="preserve">Real use case: </w:t>
      </w:r>
      <w:r>
        <w:t>Singtel Group</w:t>
      </w:r>
    </w:p>
    <w:p>
      <w:r>
        <w:rPr>
          <w:b/>
        </w:rPr>
        <w:t xml:space="preserve">Objective: </w:t>
      </w:r>
      <w:r>
        <w:t>Build an entity and value-chain boundary that does not hide significant impacts.</w:t>
      </w:r>
    </w:p>
    <w:p>
      <w:r>
        <w:rPr>
          <w:b/>
        </w:rPr>
        <w:t xml:space="preserve">Inputs: </w:t>
      </w:r>
      <w:r>
        <w:t>Singtel Sustainability Report 2025, entity register and value-chain worksheet</w:t>
      </w:r>
    </w:p>
    <w:p>
      <w:r>
        <w:rPr>
          <w:b/>
        </w:rPr>
        <w:t xml:space="preserve">Deliverable: </w:t>
      </w:r>
      <w:r>
        <w:t>Boundary register and value-chain impact map</w:t>
      </w:r>
    </w:p>
    <w:p>
      <w:pPr>
        <w:pStyle w:val="Heading2"/>
      </w:pPr>
      <w:r>
        <w:t>Detailed Procedure</w:t>
      </w:r>
    </w:p>
    <w:p>
      <w:pPr>
        <w:pStyle w:val="Heading3"/>
      </w:pPr>
      <w:r>
        <w:t>Step 1</w:t>
      </w:r>
    </w:p>
    <w:p>
      <w:r>
        <w:t>List controlled entities and reporting locations.</w:t>
      </w:r>
    </w:p>
    <w:p>
      <w:r>
        <w:t>Record the source, boundary, owner, judgement and evidence link in the matching worksheet. If the required evidence is unavailable, do not invent a value; log the limitation, action owner and target resolution date.</w:t>
      </w:r>
    </w:p>
    <w:p>
      <w:pPr>
        <w:pStyle w:val="Heading3"/>
      </w:pPr>
      <w:r>
        <w:t>Step 2</w:t>
      </w:r>
    </w:p>
    <w:p>
      <w:r>
        <w:t>Reconcile the list to the financial reporting scope.</w:t>
      </w:r>
    </w:p>
    <w:p>
      <w:r>
        <w:t>Record the source, boundary, owner, judgement and evidence link in the matching worksheet. If the required evidence is unavailable, do not invent a value; log the limitation, action owner and target resolution date.</w:t>
      </w:r>
    </w:p>
    <w:p>
      <w:pPr>
        <w:pStyle w:val="Heading3"/>
      </w:pPr>
      <w:r>
        <w:t>Step 3</w:t>
      </w:r>
    </w:p>
    <w:p>
      <w:r>
        <w:t>Map upstream, own-operation and downstream activities.</w:t>
      </w:r>
    </w:p>
    <w:p>
      <w:r>
        <w:t>Record the source, boundary, owner, judgement and evidence link in the matching worksheet. If the required evidence is unavailable, do not invent a value; log the limitation, action owner and target resolution date.</w:t>
      </w:r>
    </w:p>
    <w:p>
      <w:pPr>
        <w:pStyle w:val="Heading3"/>
      </w:pPr>
      <w:r>
        <w:t>Step 4</w:t>
      </w:r>
    </w:p>
    <w:p>
      <w:r>
        <w:t>Place actual and potential impacts on the map.</w:t>
      </w:r>
    </w:p>
    <w:p>
      <w:r>
        <w:t>Record the source, boundary, owner, judgement and evidence link in the matching worksheet. If the required evidence is unavailable, do not invent a value; log the limitation, action owner and target resolution date.</w:t>
      </w:r>
    </w:p>
    <w:p>
      <w:pPr>
        <w:pStyle w:val="Heading3"/>
      </w:pPr>
      <w:r>
        <w:t>Step 5</w:t>
      </w:r>
    </w:p>
    <w:p>
      <w:r>
        <w:t>Document exclusions, evidence gaps and restatement triggers.</w:t>
      </w:r>
    </w:p>
    <w:p>
      <w:r>
        <w:t>Record the source, boundary, owner, judgement and evidence link in the matching worksheet. If the required evidence is unavailable, do not invent a value; log the limitation, action owner and target resolution date.</w:t>
      </w:r>
    </w:p>
    <w:p>
      <w:pPr>
        <w:pStyle w:val="Heading2"/>
      </w:pPr>
      <w:r>
        <w:t>Verification and Troubleshooting</w:t>
      </w:r>
    </w:p>
    <w:p>
      <w:r>
        <w:t>Every entity and impact has an inclusion decision, rationale, owner and evidence source.</w:t>
      </w:r>
    </w:p>
    <w:p>
      <w:pPr>
        <w:pStyle w:val="ListBullet"/>
      </w:pPr>
      <w:r>
        <w:t>A total does not reconcile: check period, entity scope, units and duplicate rows.</w:t>
      </w:r>
    </w:p>
    <w:p>
      <w:pPr>
        <w:pStyle w:val="ListBullet"/>
      </w:pPr>
      <w:r>
        <w:t>A claim lacks evidence: move it to the issue log and obtain owner approval before use.</w:t>
      </w:r>
    </w:p>
    <w:p>
      <w:pPr>
        <w:pStyle w:val="ListBullet"/>
      </w:pPr>
      <w:r>
        <w:t>A stakeholder or topic was excluded: record the threshold, rationale and governance decision.</w:t>
      </w:r>
    </w:p>
    <w:p>
      <w:pPr>
        <w:pStyle w:val="Heading2"/>
      </w:pPr>
      <w:r>
        <w:t>Cleanup and Handover</w:t>
      </w:r>
    </w:p>
    <w:p>
      <w:r>
        <w:t>Save the final learner files in this Activity folder, remove personal or confidential data, retain source URLs and version dates, and submit only the requested artifact. Keep the completed worksheet with the review comments as the evidence trail.</w:t>
      </w:r>
    </w:p>
    <w:p>
      <w:r>
        <w:br w:type="page"/>
      </w:r>
    </w:p>
    <w:p>
      <w:pPr>
        <w:pStyle w:val="Heading1"/>
      </w:pPr>
      <w:r>
        <w:t>Activity 3 Design stakeholder engagement evidence</w:t>
      </w:r>
    </w:p>
    <w:p>
      <w:r>
        <w:rPr>
          <w:b/>
        </w:rPr>
        <w:t xml:space="preserve">Learning outcome: </w:t>
      </w:r>
      <w:r>
        <w:t>LO2</w:t>
      </w:r>
    </w:p>
    <w:p>
      <w:r>
        <w:rPr>
          <w:b/>
        </w:rPr>
        <w:t xml:space="preserve">Duration: </w:t>
      </w:r>
      <w:r>
        <w:t>55 minutes</w:t>
      </w:r>
    </w:p>
    <w:p>
      <w:r>
        <w:rPr>
          <w:b/>
        </w:rPr>
        <w:t xml:space="preserve">Real use case: </w:t>
      </w:r>
      <w:r>
        <w:t>CDL materiality process</w:t>
      </w:r>
    </w:p>
    <w:p>
      <w:r>
        <w:rPr>
          <w:b/>
        </w:rPr>
        <w:t xml:space="preserve">Objective: </w:t>
      </w:r>
      <w:r>
        <w:t>Plan engagement that captures affected-stakeholder perspectives and closes the feedback loop.</w:t>
      </w:r>
    </w:p>
    <w:p>
      <w:r>
        <w:rPr>
          <w:b/>
        </w:rPr>
        <w:t xml:space="preserve">Inputs: </w:t>
      </w:r>
      <w:r>
        <w:t>CDL materiality reporting, stakeholder register and interview guide</w:t>
      </w:r>
    </w:p>
    <w:p>
      <w:r>
        <w:rPr>
          <w:b/>
        </w:rPr>
        <w:t xml:space="preserve">Deliverable: </w:t>
      </w:r>
      <w:r>
        <w:t>Stakeholder map, engagement log and disclosure paragraph</w:t>
      </w:r>
    </w:p>
    <w:p>
      <w:pPr>
        <w:pStyle w:val="Heading2"/>
      </w:pPr>
      <w:r>
        <w:t>Detailed Procedure</w:t>
      </w:r>
    </w:p>
    <w:p>
      <w:pPr>
        <w:pStyle w:val="Heading3"/>
      </w:pPr>
      <w:r>
        <w:t>Step 1</w:t>
      </w:r>
    </w:p>
    <w:p>
      <w:r>
        <w:t>Identify stakeholder groups and affected interests.</w:t>
      </w:r>
    </w:p>
    <w:p>
      <w:r>
        <w:t>Record the source, boundary, owner, judgement and evidence link in the matching worksheet. If the required evidence is unavailable, do not invent a value; log the limitation, action owner and target resolution date.</w:t>
      </w:r>
    </w:p>
    <w:p>
      <w:pPr>
        <w:pStyle w:val="Heading3"/>
      </w:pPr>
      <w:r>
        <w:t>Step 2</w:t>
      </w:r>
    </w:p>
    <w:p>
      <w:r>
        <w:t>Score influence and degree affected separately.</w:t>
      </w:r>
    </w:p>
    <w:p>
      <w:r>
        <w:t>Record the source, boundary, owner, judgement and evidence link in the matching worksheet. If the required evidence is unavailable, do not invent a value; log the limitation, action owner and target resolution date.</w:t>
      </w:r>
    </w:p>
    <w:p>
      <w:pPr>
        <w:pStyle w:val="Heading3"/>
      </w:pPr>
      <w:r>
        <w:t>Step 3</w:t>
      </w:r>
    </w:p>
    <w:p>
      <w:r>
        <w:t>Choose survey, interview, workshop or grievance evidence.</w:t>
      </w:r>
    </w:p>
    <w:p>
      <w:r>
        <w:t>Record the source, boundary, owner, judgement and evidence link in the matching worksheet. If the required evidence is unavailable, do not invent a value; log the limitation, action owner and target resolution date.</w:t>
      </w:r>
    </w:p>
    <w:p>
      <w:pPr>
        <w:pStyle w:val="Heading3"/>
      </w:pPr>
      <w:r>
        <w:t>Step 4</w:t>
      </w:r>
    </w:p>
    <w:p>
      <w:r>
        <w:t>Record issues raised and management responses.</w:t>
      </w:r>
    </w:p>
    <w:p>
      <w:r>
        <w:t>Record the source, boundary, owner, judgement and evidence link in the matching worksheet. If the required evidence is unavailable, do not invent a value; log the limitation, action owner and target resolution date.</w:t>
      </w:r>
    </w:p>
    <w:p>
      <w:pPr>
        <w:pStyle w:val="Heading3"/>
      </w:pPr>
      <w:r>
        <w:t>Step 5</w:t>
      </w:r>
    </w:p>
    <w:p>
      <w:r>
        <w:t>Draft the disclosure of what changed and what did not.</w:t>
      </w:r>
    </w:p>
    <w:p>
      <w:r>
        <w:t>Record the source, boundary, owner, judgement and evidence link in the matching worksheet. If the required evidence is unavailable, do not invent a value; log the limitation, action owner and target resolution date.</w:t>
      </w:r>
    </w:p>
    <w:p>
      <w:pPr>
        <w:pStyle w:val="Heading2"/>
      </w:pPr>
      <w:r>
        <w:t>Verification and Troubleshooting</w:t>
      </w:r>
    </w:p>
    <w:p>
      <w:r>
        <w:t>Each material issue traces to a stakeholder source, management decision and feedback response.</w:t>
      </w:r>
    </w:p>
    <w:p>
      <w:pPr>
        <w:pStyle w:val="ListBullet"/>
      </w:pPr>
      <w:r>
        <w:t>A total does not reconcile: check period, entity scope, units and duplicate rows.</w:t>
      </w:r>
    </w:p>
    <w:p>
      <w:pPr>
        <w:pStyle w:val="ListBullet"/>
      </w:pPr>
      <w:r>
        <w:t>A claim lacks evidence: move it to the issue log and obtain owner approval before use.</w:t>
      </w:r>
    </w:p>
    <w:p>
      <w:pPr>
        <w:pStyle w:val="ListBullet"/>
      </w:pPr>
      <w:r>
        <w:t>A stakeholder or topic was excluded: record the threshold, rationale and governance decision.</w:t>
      </w:r>
    </w:p>
    <w:p>
      <w:pPr>
        <w:pStyle w:val="Heading2"/>
      </w:pPr>
      <w:r>
        <w:t>Cleanup and Handover</w:t>
      </w:r>
    </w:p>
    <w:p>
      <w:r>
        <w:t>Save the final learner files in this Activity folder, remove personal or confidential data, retain source URLs and version dates, and submit only the requested artifact. Keep the completed worksheet with the review comments as the evidence trail.</w:t>
      </w:r>
    </w:p>
    <w:p>
      <w:pPr>
        <w:pStyle w:val="Heading1"/>
      </w:pPr>
      <w:r>
        <w:t>Learning Unit 2 Apply the GRI Standards</w:t>
      </w:r>
    </w:p>
    <w:p>
      <w:pPr>
        <w:pStyle w:val="Heading2"/>
      </w:pPr>
      <w:r>
        <w:t>The GRI system is modular by design</w:t>
      </w:r>
    </w:p>
    <w:p>
      <w:r>
        <w:t>Concrete contract: Universal Standards GRI 1-3, applicable Sector Standards and selected Topic Standards.</w:t>
      </w:r>
    </w:p>
    <w:p>
      <w:r>
        <w:t>Decision rule: start with Universal, check sector, then add topics for each material impact. Failure to watch: treating the Topic Standards as a menu before materiality.</w:t>
      </w:r>
    </w:p>
    <w:p>
      <w:r>
        <w:t>Verification: standards register lists title, publication year, applicability and disclosure owner. Source basis: GRI 1 Foundation 2021, Global Reporting Initiative.</w:t>
      </w:r>
    </w:p>
    <w:p>
      <w:pPr>
        <w:pStyle w:val="Heading2"/>
      </w:pPr>
      <w:r>
        <w:t>GRI reporting principles operate as quality criteria</w:t>
      </w:r>
    </w:p>
    <w:p>
      <w:r>
        <w:t>Concrete contract: accuracy, balance, clarity, comparability, completeness, sustainability context, timeliness, verifiability.</w:t>
      </w:r>
    </w:p>
    <w:p>
      <w:r>
        <w:t>Decision rule: test every draft disclosure against all eight principles. Failure to watch: positive-only narrative violates balance even when numbers are accurate.</w:t>
      </w:r>
    </w:p>
    <w:p>
      <w:r>
        <w:t>Verification: principles checklist records evidence, exception and reviewer conclusion. Source basis: GRI 1 Foundation 2021, Global Reporting Initiative.</w:t>
      </w:r>
    </w:p>
    <w:p>
      <w:pPr>
        <w:pStyle w:val="Heading2"/>
      </w:pPr>
      <w:r>
        <w:t>Nine requirements support an in-accordance claim</w:t>
      </w:r>
    </w:p>
    <w:p>
      <w:r>
        <w:t>Concrete contract: principles; GRI2; material topics; GRI3; Topic disclosures; omissions; index; statement; notify GRI.</w:t>
      </w:r>
    </w:p>
    <w:p>
      <w:r>
        <w:t>Decision rule: claim in accordance only when all nine are satisfied. Failure to watch: one missing content index invalidates the claim.</w:t>
      </w:r>
    </w:p>
    <w:p>
      <w:r>
        <w:t>Verification: claim-readiness checklist carries nine pass/fail results. Source basis: GRI 1 Foundation 2021, Global Reporting Initiative.</w:t>
      </w:r>
    </w:p>
    <w:p>
      <w:pPr>
        <w:pStyle w:val="Heading2"/>
      </w:pPr>
      <w:r>
        <w:t>With-reference reporting needs a narrower claim</w:t>
      </w:r>
    </w:p>
    <w:p>
      <w:r>
        <w:t>Concrete contract: publish content index, statement of use and notify GRI for referenced disclosures.</w:t>
      </w:r>
    </w:p>
    <w:p>
      <w:r>
        <w:t>Decision rule: use with reference when not all in-accordance requirements are met. Failure to watch: marketing partial use as full compliance is misleading.</w:t>
      </w:r>
    </w:p>
    <w:p>
      <w:r>
        <w:t>Verification: statement wording matches the completed checklist. Source basis: GRI 1 Foundation 2021, Global Reporting Initiative.</w:t>
      </w:r>
    </w:p>
    <w:p>
      <w:pPr>
        <w:pStyle w:val="Heading2"/>
      </w:pPr>
      <w:r>
        <w:t>GRI 2 reporting practices define the report contract</w:t>
      </w:r>
    </w:p>
    <w:p>
      <w:r>
        <w:t>Concrete contract: reporting period, frequency, contact point, restatements and external assurance.</w:t>
      </w:r>
    </w:p>
    <w:p>
      <w:r>
        <w:t>Decision rule: align period with financial reporting unless a difference is explained. Failure to watch: changed period creates incomparable trend lines.</w:t>
      </w:r>
    </w:p>
    <w:p>
      <w:r>
        <w:t>Verification: report profile reconciles current and prior periods. Source basis: GRI 2 General Disclosures 2021, Global Reporting Initiative.</w:t>
      </w:r>
    </w:p>
    <w:p>
      <w:pPr>
        <w:pStyle w:val="Heading2"/>
      </w:pPr>
      <w:r>
        <w:t>GRI 2 organisational details establish context</w:t>
      </w:r>
    </w:p>
    <w:p>
      <w:r>
        <w:t>Concrete contract: legal name, ownership, headquarters, countries, activities and markets.</w:t>
      </w:r>
    </w:p>
    <w:p>
      <w:r>
        <w:t>Decision rule: disclose scale and operational context needed to interpret impacts. Failure to watch: metrics without denominator or location mislead readers.</w:t>
      </w:r>
    </w:p>
    <w:p>
      <w:r>
        <w:t>Verification: entity profile agrees with statutory and financial records. Source basis: GRI 2 General Disclosures 2021, Global Reporting Initiative.</w:t>
      </w:r>
    </w:p>
    <w:p>
      <w:pPr>
        <w:pStyle w:val="Heading2"/>
      </w:pPr>
      <w:r>
        <w:t>Workers and value chain need count definitions</w:t>
      </w:r>
    </w:p>
    <w:p>
      <w:r>
        <w:t>Concrete contract: employee type, non-employee worker, headcount/FTE, gender, region and method.</w:t>
      </w:r>
    </w:p>
    <w:p>
      <w:r>
        <w:t>Decision rule: publish definitions and use one measurement date or average consistently. Failure to watch: mixing headcount and FTE creates false trends.</w:t>
      </w:r>
    </w:p>
    <w:p>
      <w:r>
        <w:t>Verification: HR reconciliation ties reported totals to payroll and contractor registers. Source basis: GRI 2 General Disclosures 2021, Global Reporting Initiative.</w:t>
      </w:r>
    </w:p>
    <w:p>
      <w:pPr>
        <w:pStyle w:val="Heading2"/>
      </w:pPr>
      <w:r>
        <w:t>Governance disclosures connect oversight to decisions</w:t>
      </w:r>
    </w:p>
    <w:p>
      <w:r>
        <w:t>Concrete contract: highest governance body, committees, delegation, competence, conflicts and remuneration.</w:t>
      </w:r>
    </w:p>
    <w:p>
      <w:r>
        <w:t>Decision rule: name who reviews impacts and how often. Failure to watch: generic Board oversight wording cannot be verified.</w:t>
      </w:r>
    </w:p>
    <w:p>
      <w:r>
        <w:t>Verification: minutes and terms of reference evidence review and escalation. Source basis: GRI 2 General Disclosures 2021, Global Reporting Initiative.</w:t>
      </w:r>
    </w:p>
    <w:p>
      <w:pPr>
        <w:pStyle w:val="Heading2"/>
      </w:pPr>
      <w:r>
        <w:t>Policy commitments must reach business relationships</w:t>
      </w:r>
    </w:p>
    <w:p>
      <w:r>
        <w:t>Concrete contract: policy scope, due diligence, grievance, remediation and communication.</w:t>
      </w:r>
    </w:p>
    <w:p>
      <w:r>
        <w:t>Decision rule: test whether high-risk suppliers are covered and monitored. Failure to watch: policy publication without implementation evidence is symbolic.</w:t>
      </w:r>
    </w:p>
    <w:p>
      <w:r>
        <w:t>Verification: supplier clauses, training records and grievance outcomes triangulate implementation. Source basis: GRI 2 General Disclosures 2021, Global Reporting Initiative.</w:t>
      </w:r>
    </w:p>
    <w:p>
      <w:pPr>
        <w:pStyle w:val="Heading2"/>
      </w:pPr>
      <w:r>
        <w:t>GRI 3 begins with organisational context</w:t>
      </w:r>
    </w:p>
    <w:p>
      <w:r>
        <w:t>Concrete contract: activities, business relationships, sustainability context and stakeholder perspectives.</w:t>
      </w:r>
    </w:p>
    <w:p>
      <w:r>
        <w:t>Decision rule: build a long list before ranking significance. Failure to watch: starting from last year's topics hard-codes blind spots.</w:t>
      </w:r>
    </w:p>
    <w:p>
      <w:r>
        <w:t>Verification: context pack documents sources, assumptions and responsible analyst. Source basis: GRI 3 Material Topics 2021, Global Reporting Initiative.</w:t>
      </w:r>
    </w:p>
    <w:p>
      <w:pPr>
        <w:pStyle w:val="Heading2"/>
      </w:pPr>
      <w:r>
        <w:t>Impact identification separates actual from potential</w:t>
      </w:r>
    </w:p>
    <w:p>
      <w:r>
        <w:t>Concrete contract: positive/negative, actual/potential, direct/linked and short/long-term.</w:t>
      </w:r>
    </w:p>
    <w:p>
      <w:r>
        <w:t>Decision rule: describe impact on people or environment before management response. Failure to watch: risk labels without affected subject obscure the impact.</w:t>
      </w:r>
    </w:p>
    <w:p>
      <w:r>
        <w:t>Verification: impact statement uses cause-pathway-subject-consequence structure. Source basis: GRI 3 Material Topics 2021, Global Reporting Initiative.</w:t>
      </w:r>
    </w:p>
    <w:p>
      <w:pPr>
        <w:pStyle w:val="Heading2"/>
      </w:pPr>
      <w:r>
        <w:t>Significance assessment uses severity and likelihood</w:t>
      </w:r>
    </w:p>
    <w:p>
      <w:r>
        <w:t>Concrete contract: severity comprises scale, scope and irremediable character; likelihood for potential impacts.</w:t>
      </w:r>
    </w:p>
    <w:p>
      <w:r>
        <w:t>Decision rule: human-rights severity takes precedence over likelihood. Failure to watch: averaging dimensions can hide an irremediable impact.</w:t>
      </w:r>
    </w:p>
    <w:p>
      <w:r>
        <w:t>Verification: scoring sheet preserves raw evidence and rationale, not only a heatmap. Source basis: GRI 3 Material Topics 2021, Global Reporting Initiative.</w:t>
      </w:r>
    </w:p>
    <w:p>
      <w:pPr>
        <w:pStyle w:val="Heading2"/>
      </w:pPr>
      <w:r>
        <w:t>Prioritisation produces a defendable material-topic list</w:t>
      </w:r>
    </w:p>
    <w:p>
      <w:r>
        <w:t>Concrete contract: threshold, ranking, expert judgement, stakeholder input and governance validation.</w:t>
      </w:r>
    </w:p>
    <w:p>
      <w:r>
        <w:t>Decision rule: include all impacts above threshold and explain judgement overrides. Failure to watch: management veto silently removes uncomfortable topics.</w:t>
      </w:r>
    </w:p>
    <w:p>
      <w:r>
        <w:t>Verification: decision log records threshold, override, approver and rationale. Source basis: GRI 3 Material Topics 2021, Global Reporting Initiative.</w:t>
      </w:r>
    </w:p>
    <w:p>
      <w:pPr>
        <w:pStyle w:val="Heading2"/>
      </w:pPr>
      <w:r>
        <w:t>GRI 3-2 links topics to reporting scope</w:t>
      </w:r>
    </w:p>
    <w:p>
      <w:r>
        <w:t>Concrete contract: material topic name, changes from prior period and list consistency with content index.</w:t>
      </w:r>
    </w:p>
    <w:p>
      <w:r>
        <w:t>Decision rule: reconcile topic list to every index entry before release. Failure to watch: topic names drift across narrative, index and website.</w:t>
      </w:r>
    </w:p>
    <w:p>
      <w:r>
        <w:t>Verification: automated cross-check flags missing or duplicate topic labels. Source basis: GRI 3 Material Topics 2021, Global Reporting Initiative.</w:t>
      </w:r>
    </w:p>
    <w:p>
      <w:pPr>
        <w:pStyle w:val="Heading2"/>
      </w:pPr>
      <w:r>
        <w:t>GRI 3-3 tests management of each topic</w:t>
      </w:r>
    </w:p>
    <w:p>
      <w:r>
        <w:t>Concrete contract: impact description, policies, actions, tracking, effectiveness and stakeholder learning.</w:t>
      </w:r>
    </w:p>
    <w:p>
      <w:r>
        <w:t>Decision rule: report outcomes and effectiveness, not only commitments. Failure to watch: activity counts are mistaken for impact reduction.</w:t>
      </w:r>
    </w:p>
    <w:p>
      <w:r>
        <w:t>Verification: topic fiche links baseline, target, action, result and evidence. Source basis: GRI 3 Material Topics 2021, Global Reporting Initiative.</w:t>
      </w:r>
    </w:p>
    <w:p>
      <w:pPr>
        <w:pStyle w:val="Heading2"/>
      </w:pPr>
      <w:r>
        <w:t>The GRI content index is the audit trail</w:t>
      </w:r>
    </w:p>
    <w:p>
      <w:r>
        <w:t>Concrete contract: disclosure number, title, location, omission reason, sector reference and assurance mark.</w:t>
      </w:r>
    </w:p>
    <w:p>
      <w:r>
        <w:t>Decision rule: every reported disclosure must resolve to a precise location. Failure to watch: page ranges too broad to verify conceal gaps.</w:t>
      </w:r>
    </w:p>
    <w:p>
      <w:r>
        <w:t>Verification: index link-check opens the exact section and matches the current version. Source basis: GRI 1 Foundation 2021, Global Reporting Initiative.</w:t>
      </w:r>
    </w:p>
    <w:p>
      <w:pPr>
        <w:pStyle w:val="Heading2"/>
      </w:pPr>
      <w:r>
        <w:t>Reasons for omission have constrained categories</w:t>
      </w:r>
    </w:p>
    <w:p>
      <w:r>
        <w:t>Concrete contract: not applicable, legal prohibitions, confidentiality constraints, information unavailable/incomplete.</w:t>
      </w:r>
    </w:p>
    <w:p>
      <w:r>
        <w:t>Decision rule: state the reason and required explanation; use unavailable only with steps and timeframe. Failure to watch: blank cells or 'N/A' provide no accountable explanation.</w:t>
      </w:r>
    </w:p>
    <w:p>
      <w:r>
        <w:t>Verification: omission register is approved and reconciled to the index. Source basis: GRI 1 Foundation 2021, Global Reporting Initiative.</w:t>
      </w:r>
    </w:p>
    <w:p>
      <w:pPr>
        <w:pStyle w:val="Heading2"/>
      </w:pPr>
      <w:r>
        <w:t>Economic value connects operations to stakeholders</w:t>
      </w:r>
    </w:p>
    <w:p>
      <w:r>
        <w:t>Concrete contract: direct economic value generated and distributed by revenue, costs, wages, capital, government and community.</w:t>
      </w:r>
    </w:p>
    <w:p>
      <w:r>
        <w:t>Decision rule: reconcile totals to financial statements and explain non-GAAP classifications. Failure to watch: double counting community spend distorts distribution.</w:t>
      </w:r>
    </w:p>
    <w:p>
      <w:r>
        <w:t>Verification: EVG&amp;D bridge agrees to trial balance and disclosure note. Source basis: GRI 201.</w:t>
      </w:r>
    </w:p>
    <w:p>
      <w:pPr>
        <w:pStyle w:val="Heading2"/>
      </w:pPr>
      <w:r>
        <w:t>Procurement disclosure needs a local definition</w:t>
      </w:r>
    </w:p>
    <w:p>
      <w:r>
        <w:t>Concrete contract: share of procurement budget spent on suppliers local to significant locations.</w:t>
      </w:r>
    </w:p>
    <w:p>
      <w:r>
        <w:t>Decision rule: define local geography and significant location before calculation. Failure to watch: changing radius year to year manufactures improvement.</w:t>
      </w:r>
    </w:p>
    <w:p>
      <w:r>
        <w:t>Verification: supplier master and purchase ledger reproduce the percentage. Source basis: GRI 204.</w:t>
      </w:r>
    </w:p>
    <w:p>
      <w:pPr>
        <w:pStyle w:val="Heading2"/>
      </w:pPr>
      <w:r>
        <w:t>Anti-corruption reporting follows case status</w:t>
      </w:r>
    </w:p>
    <w:p>
      <w:r>
        <w:t>Concrete contract: operations risk-assessed, communication/training coverage, confirmed incidents and actions.</w:t>
      </w:r>
    </w:p>
    <w:p>
      <w:r>
        <w:t>Decision rule: separate allegations, investigated cases and confirmed incidents. Failure to watch: reporting zero incidents without a detection channel is weak evidence.</w:t>
      </w:r>
    </w:p>
    <w:p>
      <w:r>
        <w:t>Verification: case register, hotline data and training population reconcile. Source basis: GRI 205.</w:t>
      </w:r>
    </w:p>
    <w:p>
      <w:pPr>
        <w:pStyle w:val="Heading2"/>
      </w:pPr>
      <w:r>
        <w:t>Energy data needs one unit and one boundary</w:t>
      </w:r>
    </w:p>
    <w:p>
      <w:r>
        <w:t>Concrete contract: fuel, electricity, heating/cooling and renewable/non-renewable in joules with conversion factors.</w:t>
      </w:r>
    </w:p>
    <w:p>
      <w:r>
        <w:t>Decision rule: convert at source and retain factor version. Failure to watch: mixing kWh, litres and GJ produces impossible totals.</w:t>
      </w:r>
    </w:p>
    <w:p>
      <w:r>
        <w:t>Verification: meter-to-ledger reconciliation and factor table reproduce totals. Source basis: GRI 302 and GRI 103.</w:t>
      </w:r>
    </w:p>
    <w:p>
      <w:pPr>
        <w:pStyle w:val="Heading2"/>
      </w:pPr>
      <w:r>
        <w:t>GHG inventory separates Scopes and gases</w:t>
      </w:r>
    </w:p>
    <w:p>
      <w:r>
        <w:t>Concrete contract: activity data x emission factor x GWP; Scopes 1, 2 and 3; base year and consolidation approach.</w:t>
      </w:r>
    </w:p>
    <w:p>
      <w:r>
        <w:t>Decision rule: publish location- and market-based Scope 2 where applicable. Failure to watch: offsets netted into gross emissions hide performance.</w:t>
      </w:r>
    </w:p>
    <w:p>
      <w:r>
        <w:t>Verification: calculation workbook traces every total to invoice, meter and factor. Source basis: GRI 305 and GRI 102.</w:t>
      </w:r>
    </w:p>
    <w:p>
      <w:pPr>
        <w:pStyle w:val="Heading2"/>
      </w:pPr>
      <w:r>
        <w:t>Water reporting is location-sensitive</w:t>
      </w:r>
    </w:p>
    <w:p>
      <w:r>
        <w:t>Concrete contract: withdrawal, discharge and consumption by source and water-stressed area.</w:t>
      </w:r>
    </w:p>
    <w:p>
      <w:r>
        <w:t>Decision rule: prioritise impacts where basin stress and dependency intersect. Failure to watch: global totals conceal a critical local impact.</w:t>
      </w:r>
    </w:p>
    <w:p>
      <w:r>
        <w:t>Verification: site-water balance equals withdrawal minus discharge within tolerance. Source basis: GRI 303.</w:t>
      </w:r>
    </w:p>
    <w:p>
      <w:pPr>
        <w:pStyle w:val="Heading2"/>
      </w:pPr>
      <w:r>
        <w:t>Waste data follows destination and recovery route</w:t>
      </w:r>
    </w:p>
    <w:p>
      <w:r>
        <w:t>Concrete contract: generated, diverted from disposal and directed to disposal by composition and method.</w:t>
      </w:r>
    </w:p>
    <w:p>
      <w:r>
        <w:t>Decision rule: require transporter and destination evidence for recovery claims. Failure to watch: vendor invoice alone does not prove final treatment.</w:t>
      </w:r>
    </w:p>
    <w:p>
      <w:r>
        <w:t>Verification: waste manifest chain closes generator, transporter and facility. Source basis: GRI 306.</w:t>
      </w:r>
    </w:p>
    <w:p>
      <w:pPr>
        <w:pStyle w:val="Heading2"/>
      </w:pPr>
      <w:r>
        <w:t>Biodiversity reporting starts with location</w:t>
      </w:r>
    </w:p>
    <w:p>
      <w:r>
        <w:t>Concrete contract: site coordinates, ecosystem condition, direct drivers, dependencies, impacts and restoration.</w:t>
      </w:r>
    </w:p>
    <w:p>
      <w:r>
        <w:t>Decision rule: screen sites and value chain before selecting metrics. Failure to watch: reporting tree-planting without baseline condition overstates outcome.</w:t>
      </w:r>
    </w:p>
    <w:p>
      <w:r>
        <w:t>Verification: geospatial register and habitat baseline support the disclosure. Source basis: GRI 101.</w:t>
      </w:r>
    </w:p>
    <w:p>
      <w:pPr>
        <w:pStyle w:val="Heading2"/>
      </w:pPr>
      <w:r>
        <w:t>Employment and safety denominators must match</w:t>
      </w:r>
    </w:p>
    <w:p>
      <w:r>
        <w:t>Concrete contract: hire/turnover and recordable injury rates by defined worker population and hours.</w:t>
      </w:r>
    </w:p>
    <w:p>
      <w:r>
        <w:t>Decision rule: use the same population in numerator and denominator. Failure to watch: excluding contractors makes high-risk operations appear safer.</w:t>
      </w:r>
    </w:p>
    <w:p>
      <w:r>
        <w:t>Verification: incident log, hours records and HR roster reproduce rates. Source basis: GRI 401 and GRI 403.</w:t>
      </w:r>
    </w:p>
    <w:p>
      <w:pPr>
        <w:pStyle w:val="Heading2"/>
      </w:pPr>
      <w:r>
        <w:t>Diversity data needs categories and privacy controls</w:t>
      </w:r>
    </w:p>
    <w:p>
      <w:r>
        <w:t>Concrete contract: governance and employee composition by gender, age and other relevant categories.</w:t>
      </w:r>
    </w:p>
    <w:p>
      <w:r>
        <w:t>Decision rule: aggregate or suppress small cells to protect individuals. Failure to watch: over-granular tables reveal identities.</w:t>
      </w:r>
    </w:p>
    <w:p>
      <w:r>
        <w:t>Verification: privacy review and HR reconciliation accompany the table. Source basis: GRI 405.</w:t>
      </w:r>
    </w:p>
    <w:p>
      <w:pPr>
        <w:pStyle w:val="Heading2"/>
      </w:pPr>
      <w:r>
        <w:t>Human-rights due diligence follows the impact pathway</w:t>
      </w:r>
    </w:p>
    <w:p>
      <w:r>
        <w:t>Concrete contract: identify, prevent, mitigate, track, communicate and remediate adverse impacts.</w:t>
      </w:r>
    </w:p>
    <w:p>
      <w:r>
        <w:t>Decision rule: prioritise severity and affected-person voice. Failure to watch: supplier self-certification replaces due diligence.</w:t>
      </w:r>
    </w:p>
    <w:p>
      <w:r>
        <w:t>Verification: case evidence shows consultation, remedy and effectiveness review. Source basis: GRI 2 and social Topic Standards.</w:t>
      </w:r>
    </w:p>
    <w:p>
      <w:pPr>
        <w:pStyle w:val="Heading2"/>
      </w:pPr>
      <w:r>
        <w:t>Customer disclosures connect incidents to controls</w:t>
      </w:r>
    </w:p>
    <w:p>
      <w:r>
        <w:t>Concrete contract: health/safety, labelling/marketing non-compliance and substantiated privacy complaints.</w:t>
      </w:r>
    </w:p>
    <w:p>
      <w:r>
        <w:t>Decision rule: define confirmed case and reporting threshold consistently. Failure to watch: combining inquiries with breaches inflates or suppresses trends.</w:t>
      </w:r>
    </w:p>
    <w:p>
      <w:r>
        <w:t>Verification: legal, product and privacy registers reconcile to disclosed counts. Source basis: GRI 416-418.</w:t>
      </w:r>
    </w:p>
    <w:p>
      <w:r>
        <w:br w:type="page"/>
      </w:r>
    </w:p>
    <w:p>
      <w:pPr>
        <w:pStyle w:val="Heading1"/>
      </w:pPr>
      <w:r>
        <w:t>Activity 4 Test a GRI claim and build the content index</w:t>
      </w:r>
    </w:p>
    <w:p>
      <w:r>
        <w:rPr>
          <w:b/>
        </w:rPr>
        <w:t xml:space="preserve">Learning outcome: </w:t>
      </w:r>
      <w:r>
        <w:t>LO2</w:t>
      </w:r>
    </w:p>
    <w:p>
      <w:r>
        <w:rPr>
          <w:b/>
        </w:rPr>
        <w:t xml:space="preserve">Duration: </w:t>
      </w:r>
      <w:r>
        <w:t>60 minutes</w:t>
      </w:r>
    </w:p>
    <w:p>
      <w:r>
        <w:rPr>
          <w:b/>
        </w:rPr>
        <w:t xml:space="preserve">Real use case: </w:t>
      </w:r>
      <w:r>
        <w:t>DBS Sustainability Report 2025</w:t>
      </w:r>
    </w:p>
    <w:p>
      <w:r>
        <w:rPr>
          <w:b/>
        </w:rPr>
        <w:t xml:space="preserve">Objective: </w:t>
      </w:r>
      <w:r>
        <w:t>Determine in-accordance or with-reference status and create a working GRI content index.</w:t>
      </w:r>
    </w:p>
    <w:p>
      <w:r>
        <w:rPr>
          <w:b/>
        </w:rPr>
        <w:t xml:space="preserve">Inputs: </w:t>
      </w:r>
      <w:r>
        <w:t>GRI 1 nine-requirement checklist, DBS report and index template</w:t>
      </w:r>
    </w:p>
    <w:p>
      <w:r>
        <w:rPr>
          <w:b/>
        </w:rPr>
        <w:t xml:space="preserve">Deliverable: </w:t>
      </w:r>
      <w:r>
        <w:t>Claim-readiness checklist and content-index extract</w:t>
      </w:r>
    </w:p>
    <w:p>
      <w:pPr>
        <w:pStyle w:val="Heading2"/>
      </w:pPr>
      <w:r>
        <w:t>Detailed Procedure</w:t>
      </w:r>
    </w:p>
    <w:p>
      <w:pPr>
        <w:pStyle w:val="Heading3"/>
      </w:pPr>
      <w:r>
        <w:t>Step 1</w:t>
      </w:r>
    </w:p>
    <w:p>
      <w:r>
        <w:t>Test the report against all nine requirements.</w:t>
      </w:r>
    </w:p>
    <w:p>
      <w:r>
        <w:t>Record the source, boundary, owner, judgement and evidence link in the matching worksheet. If the required evidence is unavailable, do not invent a value; log the limitation, action owner and target resolution date.</w:t>
      </w:r>
    </w:p>
    <w:p>
      <w:pPr>
        <w:pStyle w:val="Heading3"/>
      </w:pPr>
      <w:r>
        <w:t>Step 2</w:t>
      </w:r>
    </w:p>
    <w:p>
      <w:r>
        <w:t>Record evidence location for each result.</w:t>
      </w:r>
    </w:p>
    <w:p>
      <w:r>
        <w:t>Record the source, boundary, owner, judgement and evidence link in the matching worksheet. If the required evidence is unavailable, do not invent a value; log the limitation, action owner and target resolution date.</w:t>
      </w:r>
    </w:p>
    <w:p>
      <w:pPr>
        <w:pStyle w:val="Heading3"/>
      </w:pPr>
      <w:r>
        <w:t>Step 3</w:t>
      </w:r>
    </w:p>
    <w:p>
      <w:r>
        <w:t>Choose the defensible statement of use.</w:t>
      </w:r>
    </w:p>
    <w:p>
      <w:r>
        <w:t>Record the source, boundary, owner, judgement and evidence link in the matching worksheet. If the required evidence is unavailable, do not invent a value; log the limitation, action owner and target resolution date.</w:t>
      </w:r>
    </w:p>
    <w:p>
      <w:pPr>
        <w:pStyle w:val="Heading3"/>
      </w:pPr>
      <w:r>
        <w:t>Step 4</w:t>
      </w:r>
    </w:p>
    <w:p>
      <w:r>
        <w:t>Create content-index entries for GRI 2 and GRI 3.</w:t>
      </w:r>
    </w:p>
    <w:p>
      <w:r>
        <w:t>Record the source, boundary, owner, judgement and evidence link in the matching worksheet. If the required evidence is unavailable, do not invent a value; log the limitation, action owner and target resolution date.</w:t>
      </w:r>
    </w:p>
    <w:p>
      <w:pPr>
        <w:pStyle w:val="Heading3"/>
      </w:pPr>
      <w:r>
        <w:t>Step 5</w:t>
      </w:r>
    </w:p>
    <w:p>
      <w:r>
        <w:t>Log omissions with reason, explanation and action date.</w:t>
      </w:r>
    </w:p>
    <w:p>
      <w:r>
        <w:t>Record the source, boundary, owner, judgement and evidence link in the matching worksheet. If the required evidence is unavailable, do not invent a value; log the limitation, action owner and target resolution date.</w:t>
      </w:r>
    </w:p>
    <w:p>
      <w:pPr>
        <w:pStyle w:val="Heading2"/>
      </w:pPr>
      <w:r>
        <w:t>Verification and Troubleshooting</w:t>
      </w:r>
    </w:p>
    <w:p>
      <w:r>
        <w:t>The claim wording matches the checklist; every index row resolves to an exact location or valid omission.</w:t>
      </w:r>
    </w:p>
    <w:p>
      <w:pPr>
        <w:pStyle w:val="ListBullet"/>
      </w:pPr>
      <w:r>
        <w:t>A total does not reconcile: check period, entity scope, units and duplicate rows.</w:t>
      </w:r>
    </w:p>
    <w:p>
      <w:pPr>
        <w:pStyle w:val="ListBullet"/>
      </w:pPr>
      <w:r>
        <w:t>A claim lacks evidence: move it to the issue log and obtain owner approval before use.</w:t>
      </w:r>
    </w:p>
    <w:p>
      <w:pPr>
        <w:pStyle w:val="ListBullet"/>
      </w:pPr>
      <w:r>
        <w:t>A stakeholder or topic was excluded: record the threshold, rationale and governance decision.</w:t>
      </w:r>
    </w:p>
    <w:p>
      <w:pPr>
        <w:pStyle w:val="Heading2"/>
      </w:pPr>
      <w:r>
        <w:t>Cleanup and Handover</w:t>
      </w:r>
    </w:p>
    <w:p>
      <w:r>
        <w:t>Save the final learner files in this Activity folder, remove personal or confidential data, retain source URLs and version dates, and submit only the requested artifact. Keep the completed worksheet with the review comments as the evidence trail.</w:t>
      </w:r>
    </w:p>
    <w:p>
      <w:r>
        <w:br w:type="page"/>
      </w:r>
    </w:p>
    <w:p>
      <w:pPr>
        <w:pStyle w:val="Heading1"/>
      </w:pPr>
      <w:r>
        <w:t>Activity 5 Determine material topics with GRI 3</w:t>
      </w:r>
    </w:p>
    <w:p>
      <w:r>
        <w:rPr>
          <w:b/>
        </w:rPr>
        <w:t xml:space="preserve">Learning outcome: </w:t>
      </w:r>
      <w:r>
        <w:t>LO2</w:t>
      </w:r>
    </w:p>
    <w:p>
      <w:r>
        <w:rPr>
          <w:b/>
        </w:rPr>
        <w:t xml:space="preserve">Duration: </w:t>
      </w:r>
      <w:r>
        <w:t>75 minutes</w:t>
      </w:r>
    </w:p>
    <w:p>
      <w:r>
        <w:rPr>
          <w:b/>
        </w:rPr>
        <w:t xml:space="preserve">Real use case: </w:t>
      </w:r>
      <w:r>
        <w:t>CDL 2025 double materiality process</w:t>
      </w:r>
    </w:p>
    <w:p>
      <w:r>
        <w:rPr>
          <w:b/>
        </w:rPr>
        <w:t xml:space="preserve">Objective: </w:t>
      </w:r>
      <w:r>
        <w:t>Identify, assess and prioritise impacts using the GRI 3 significance process.</w:t>
      </w:r>
    </w:p>
    <w:p>
      <w:r>
        <w:rPr>
          <w:b/>
        </w:rPr>
        <w:t xml:space="preserve">Inputs: </w:t>
      </w:r>
      <w:r>
        <w:t>CDL topic list, impact register and severity worksheet</w:t>
      </w:r>
    </w:p>
    <w:p>
      <w:r>
        <w:rPr>
          <w:b/>
        </w:rPr>
        <w:t xml:space="preserve">Deliverable: </w:t>
      </w:r>
      <w:r>
        <w:t>Prioritised material-topic register and decision log</w:t>
      </w:r>
    </w:p>
    <w:p>
      <w:pPr>
        <w:pStyle w:val="Heading2"/>
      </w:pPr>
      <w:r>
        <w:t>Detailed Procedure</w:t>
      </w:r>
    </w:p>
    <w:p>
      <w:pPr>
        <w:pStyle w:val="Heading3"/>
      </w:pPr>
      <w:r>
        <w:t>Step 1</w:t>
      </w:r>
    </w:p>
    <w:p>
      <w:r>
        <w:t>Review organisational context and business relationships.</w:t>
      </w:r>
    </w:p>
    <w:p>
      <w:r>
        <w:t>Record the source, boundary, owner, judgement and evidence link in the matching worksheet. If the required evidence is unavailable, do not invent a value; log the limitation, action owner and target resolution date.</w:t>
      </w:r>
    </w:p>
    <w:p>
      <w:pPr>
        <w:pStyle w:val="Heading3"/>
      </w:pPr>
      <w:r>
        <w:t>Step 2</w:t>
      </w:r>
    </w:p>
    <w:p>
      <w:r>
        <w:t>Write impact statements using cause-pathway-subject-consequence.</w:t>
      </w:r>
    </w:p>
    <w:p>
      <w:r>
        <w:t>Record the source, boundary, owner, judgement and evidence link in the matching worksheet. If the required evidence is unavailable, do not invent a value; log the limitation, action owner and target resolution date.</w:t>
      </w:r>
    </w:p>
    <w:p>
      <w:pPr>
        <w:pStyle w:val="Heading3"/>
      </w:pPr>
      <w:r>
        <w:t>Step 3</w:t>
      </w:r>
    </w:p>
    <w:p>
      <w:r>
        <w:t>Score scale, scope and irremediable character.</w:t>
      </w:r>
    </w:p>
    <w:p>
      <w:r>
        <w:t>Record the source, boundary, owner, judgement and evidence link in the matching worksheet. If the required evidence is unavailable, do not invent a value; log the limitation, action owner and target resolution date.</w:t>
      </w:r>
    </w:p>
    <w:p>
      <w:pPr>
        <w:pStyle w:val="Heading3"/>
      </w:pPr>
      <w:r>
        <w:t>Step 4</w:t>
      </w:r>
    </w:p>
    <w:p>
      <w:r>
        <w:t>Assess likelihood only for potential impacts.</w:t>
      </w:r>
    </w:p>
    <w:p>
      <w:r>
        <w:t>Record the source, boundary, owner, judgement and evidence link in the matching worksheet. If the required evidence is unavailable, do not invent a value; log the limitation, action owner and target resolution date.</w:t>
      </w:r>
    </w:p>
    <w:p>
      <w:pPr>
        <w:pStyle w:val="Heading3"/>
      </w:pPr>
      <w:r>
        <w:t>Step 5</w:t>
      </w:r>
    </w:p>
    <w:p>
      <w:r>
        <w:t>Apply the threshold and document governance validation.</w:t>
      </w:r>
    </w:p>
    <w:p>
      <w:r>
        <w:t>Record the source, boundary, owner, judgement and evidence link in the matching worksheet. If the required evidence is unavailable, do not invent a value; log the limitation, action owner and target resolution date.</w:t>
      </w:r>
    </w:p>
    <w:p>
      <w:pPr>
        <w:pStyle w:val="Heading2"/>
      </w:pPr>
      <w:r>
        <w:t>Verification and Troubleshooting</w:t>
      </w:r>
    </w:p>
    <w:p>
      <w:r>
        <w:t>High-severity human-rights impacts are not screened out by low likelihood; overrides carry approver and rationale.</w:t>
      </w:r>
    </w:p>
    <w:p>
      <w:pPr>
        <w:pStyle w:val="ListBullet"/>
      </w:pPr>
      <w:r>
        <w:t>A total does not reconcile: check period, entity scope, units and duplicate rows.</w:t>
      </w:r>
    </w:p>
    <w:p>
      <w:pPr>
        <w:pStyle w:val="ListBullet"/>
      </w:pPr>
      <w:r>
        <w:t>A claim lacks evidence: move it to the issue log and obtain owner approval before use.</w:t>
      </w:r>
    </w:p>
    <w:p>
      <w:pPr>
        <w:pStyle w:val="ListBullet"/>
      </w:pPr>
      <w:r>
        <w:t>A stakeholder or topic was excluded: record the threshold, rationale and governance decision.</w:t>
      </w:r>
    </w:p>
    <w:p>
      <w:pPr>
        <w:pStyle w:val="Heading2"/>
      </w:pPr>
      <w:r>
        <w:t>Cleanup and Handover</w:t>
      </w:r>
    </w:p>
    <w:p>
      <w:r>
        <w:t>Save the final learner files in this Activity folder, remove personal or confidential data, retain source URLs and version dates, and submit only the requested artifact. Keep the completed worksheet with the review comments as the evidence trail.</w:t>
      </w:r>
    </w:p>
    <w:p>
      <w:r>
        <w:br w:type="page"/>
      </w:r>
    </w:p>
    <w:p>
      <w:pPr>
        <w:pStyle w:val="Heading1"/>
      </w:pPr>
      <w:r>
        <w:t>Activity 6 Assemble a GRI 2 governance evidence pack</w:t>
      </w:r>
    </w:p>
    <w:p>
      <w:r>
        <w:rPr>
          <w:b/>
        </w:rPr>
        <w:t xml:space="preserve">Learning outcome: </w:t>
      </w:r>
      <w:r>
        <w:t>LO2</w:t>
      </w:r>
    </w:p>
    <w:p>
      <w:r>
        <w:rPr>
          <w:b/>
        </w:rPr>
        <w:t xml:space="preserve">Duration: </w:t>
      </w:r>
      <w:r>
        <w:t>55 minutes</w:t>
      </w:r>
    </w:p>
    <w:p>
      <w:r>
        <w:rPr>
          <w:b/>
        </w:rPr>
        <w:t xml:space="preserve">Real use case: </w:t>
      </w:r>
      <w:r>
        <w:t>CDL sustainability governance</w:t>
      </w:r>
    </w:p>
    <w:p>
      <w:r>
        <w:rPr>
          <w:b/>
        </w:rPr>
        <w:t xml:space="preserve">Objective: </w:t>
      </w:r>
      <w:r>
        <w:t>Draft governance disclosures from verifiable oversight evidence.</w:t>
      </w:r>
    </w:p>
    <w:p>
      <w:r>
        <w:rPr>
          <w:b/>
        </w:rPr>
        <w:t xml:space="preserve">Inputs: </w:t>
      </w:r>
      <w:r>
        <w:t>CDL governance page, disclosure checklist and evidence index</w:t>
      </w:r>
    </w:p>
    <w:p>
      <w:r>
        <w:rPr>
          <w:b/>
        </w:rPr>
        <w:t xml:space="preserve">Deliverable: </w:t>
      </w:r>
      <w:r>
        <w:t>Governance map, evidence index and GRI 2 draft</w:t>
      </w:r>
    </w:p>
    <w:p>
      <w:pPr>
        <w:pStyle w:val="Heading2"/>
      </w:pPr>
      <w:r>
        <w:t>Detailed Procedure</w:t>
      </w:r>
    </w:p>
    <w:p>
      <w:pPr>
        <w:pStyle w:val="Heading3"/>
      </w:pPr>
      <w:r>
        <w:t>Step 1</w:t>
      </w:r>
    </w:p>
    <w:p>
      <w:r>
        <w:t>Map Board, committee, management and operational roles.</w:t>
      </w:r>
    </w:p>
    <w:p>
      <w:r>
        <w:t>Record the source, boundary, owner, judgement and evidence link in the matching worksheet. If the required evidence is unavailable, do not invent a value; log the limitation, action owner and target resolution date.</w:t>
      </w:r>
    </w:p>
    <w:p>
      <w:pPr>
        <w:pStyle w:val="Heading3"/>
      </w:pPr>
      <w:r>
        <w:t>Step 2</w:t>
      </w:r>
    </w:p>
    <w:p>
      <w:r>
        <w:t>Identify decision frequency and escalation route.</w:t>
      </w:r>
    </w:p>
    <w:p>
      <w:r>
        <w:t>Record the source, boundary, owner, judgement and evidence link in the matching worksheet. If the required evidence is unavailable, do not invent a value; log the limitation, action owner and target resolution date.</w:t>
      </w:r>
    </w:p>
    <w:p>
      <w:pPr>
        <w:pStyle w:val="Heading3"/>
      </w:pPr>
      <w:r>
        <w:t>Step 3</w:t>
      </w:r>
    </w:p>
    <w:p>
      <w:r>
        <w:t>Capture competence, conflicts and remuneration links.</w:t>
      </w:r>
    </w:p>
    <w:p>
      <w:r>
        <w:t>Record the source, boundary, owner, judgement and evidence link in the matching worksheet. If the required evidence is unavailable, do not invent a value; log the limitation, action owner and target resolution date.</w:t>
      </w:r>
    </w:p>
    <w:p>
      <w:pPr>
        <w:pStyle w:val="Heading3"/>
      </w:pPr>
      <w:r>
        <w:t>Step 4</w:t>
      </w:r>
    </w:p>
    <w:p>
      <w:r>
        <w:t>Match each claim to terms of reference or minutes.</w:t>
      </w:r>
    </w:p>
    <w:p>
      <w:r>
        <w:t>Record the source, boundary, owner, judgement and evidence link in the matching worksheet. If the required evidence is unavailable, do not invent a value; log the limitation, action owner and target resolution date.</w:t>
      </w:r>
    </w:p>
    <w:p>
      <w:pPr>
        <w:pStyle w:val="Heading3"/>
      </w:pPr>
      <w:r>
        <w:t>Step 5</w:t>
      </w:r>
    </w:p>
    <w:p>
      <w:r>
        <w:t>Draft a concise governance disclosure with evidence references.</w:t>
      </w:r>
    </w:p>
    <w:p>
      <w:r>
        <w:t>Record the source, boundary, owner, judgement and evidence link in the matching worksheet. If the required evidence is unavailable, do not invent a value; log the limitation, action owner and target resolution date.</w:t>
      </w:r>
    </w:p>
    <w:p>
      <w:pPr>
        <w:pStyle w:val="Heading2"/>
      </w:pPr>
      <w:r>
        <w:t>Verification and Troubleshooting</w:t>
      </w:r>
    </w:p>
    <w:p>
      <w:r>
        <w:t>Every oversight claim names an actor, decision, cadence and evidence record.</w:t>
      </w:r>
    </w:p>
    <w:p>
      <w:pPr>
        <w:pStyle w:val="ListBullet"/>
      </w:pPr>
      <w:r>
        <w:t>A total does not reconcile: check period, entity scope, units and duplicate rows.</w:t>
      </w:r>
    </w:p>
    <w:p>
      <w:pPr>
        <w:pStyle w:val="ListBullet"/>
      </w:pPr>
      <w:r>
        <w:t>A claim lacks evidence: move it to the issue log and obtain owner approval before use.</w:t>
      </w:r>
    </w:p>
    <w:p>
      <w:pPr>
        <w:pStyle w:val="ListBullet"/>
      </w:pPr>
      <w:r>
        <w:t>A stakeholder or topic was excluded: record the threshold, rationale and governance decision.</w:t>
      </w:r>
    </w:p>
    <w:p>
      <w:pPr>
        <w:pStyle w:val="Heading2"/>
      </w:pPr>
      <w:r>
        <w:t>Cleanup and Handover</w:t>
      </w:r>
    </w:p>
    <w:p>
      <w:r>
        <w:t>Save the final learner files in this Activity folder, remove personal or confidential data, retain source URLs and version dates, and submit only the requested artifact. Keep the completed worksheet with the review comments as the evidence trail.</w:t>
      </w:r>
    </w:p>
    <w:p>
      <w:r>
        <w:br w:type="page"/>
      </w:r>
    </w:p>
    <w:p>
      <w:pPr>
        <w:pStyle w:val="Heading1"/>
      </w:pPr>
      <w:r>
        <w:t>Activity 7 Calculate environmental GRI metrics</w:t>
      </w:r>
    </w:p>
    <w:p>
      <w:r>
        <w:rPr>
          <w:b/>
        </w:rPr>
        <w:t xml:space="preserve">Learning outcome: </w:t>
      </w:r>
      <w:r>
        <w:t>LO2</w:t>
      </w:r>
    </w:p>
    <w:p>
      <w:r>
        <w:rPr>
          <w:b/>
        </w:rPr>
        <w:t xml:space="preserve">Duration: </w:t>
      </w:r>
      <w:r>
        <w:t>80 minutes</w:t>
      </w:r>
    </w:p>
    <w:p>
      <w:r>
        <w:rPr>
          <w:b/>
        </w:rPr>
        <w:t xml:space="preserve">Real use case: </w:t>
      </w:r>
      <w:r>
        <w:t>Singapore manufacturing data pack</w:t>
      </w:r>
    </w:p>
    <w:p>
      <w:r>
        <w:rPr>
          <w:b/>
        </w:rPr>
        <w:t xml:space="preserve">Objective: </w:t>
      </w:r>
      <w:r>
        <w:t>Calculate energy, Scope 1/2 GHG, water and waste metrics with transparent boundaries and factors.</w:t>
      </w:r>
    </w:p>
    <w:p>
      <w:r>
        <w:rPr>
          <w:b/>
        </w:rPr>
        <w:t xml:space="preserve">Inputs: </w:t>
      </w:r>
      <w:r>
        <w:t>Meter, fuel, water and waste CSV files with factor register</w:t>
      </w:r>
    </w:p>
    <w:p>
      <w:r>
        <w:rPr>
          <w:b/>
        </w:rPr>
        <w:t xml:space="preserve">Deliverable: </w:t>
      </w:r>
      <w:r>
        <w:t>Controlled KPI workbook and four disclosure tables</w:t>
      </w:r>
    </w:p>
    <w:p>
      <w:pPr>
        <w:pStyle w:val="Heading2"/>
      </w:pPr>
      <w:r>
        <w:t>Detailed Procedure</w:t>
      </w:r>
    </w:p>
    <w:p>
      <w:pPr>
        <w:pStyle w:val="Heading3"/>
      </w:pPr>
      <w:r>
        <w:t>Step 1</w:t>
      </w:r>
    </w:p>
    <w:p>
      <w:r>
        <w:t>Validate units, periods and site coverage.</w:t>
      </w:r>
    </w:p>
    <w:p>
      <w:r>
        <w:t>Record the source, boundary, owner, judgement and evidence link in the matching worksheet. If the required evidence is unavailable, do not invent a value; log the limitation, action owner and target resolution date.</w:t>
      </w:r>
    </w:p>
    <w:p>
      <w:pPr>
        <w:pStyle w:val="Heading3"/>
      </w:pPr>
      <w:r>
        <w:t>Step 2</w:t>
      </w:r>
    </w:p>
    <w:p>
      <w:r>
        <w:t>Convert energy to GJ and calculate emissions as activity x factor.</w:t>
      </w:r>
    </w:p>
    <w:p>
      <w:r>
        <w:t>Record the source, boundary, owner, judgement and evidence link in the matching worksheet. If the required evidence is unavailable, do not invent a value; log the limitation, action owner and target resolution date.</w:t>
      </w:r>
    </w:p>
    <w:p>
      <w:pPr>
        <w:pStyle w:val="Heading3"/>
      </w:pPr>
      <w:r>
        <w:t>Step 3</w:t>
      </w:r>
    </w:p>
    <w:p>
      <w:r>
        <w:t>Reconcile water withdrawal, discharge and consumption.</w:t>
      </w:r>
    </w:p>
    <w:p>
      <w:r>
        <w:t>Record the source, boundary, owner, judgement and evidence link in the matching worksheet. If the required evidence is unavailable, do not invent a value; log the limitation, action owner and target resolution date.</w:t>
      </w:r>
    </w:p>
    <w:p>
      <w:pPr>
        <w:pStyle w:val="Heading3"/>
      </w:pPr>
      <w:r>
        <w:t>Step 4</w:t>
      </w:r>
    </w:p>
    <w:p>
      <w:r>
        <w:t>Classify waste by composition and destination.</w:t>
      </w:r>
    </w:p>
    <w:p>
      <w:r>
        <w:t>Record the source, boundary, owner, judgement and evidence link in the matching worksheet. If the required evidence is unavailable, do not invent a value; log the limitation, action owner and target resolution date.</w:t>
      </w:r>
    </w:p>
    <w:p>
      <w:pPr>
        <w:pStyle w:val="Heading3"/>
      </w:pPr>
      <w:r>
        <w:t>Step 5</w:t>
      </w:r>
    </w:p>
    <w:p>
      <w:r>
        <w:t>Publish absolute and intensity metrics with assumptions.</w:t>
      </w:r>
    </w:p>
    <w:p>
      <w:r>
        <w:t>Record the source, boundary, owner, judgement and evidence link in the matching worksheet. If the required evidence is unavailable, do not invent a value; log the limitation, action owner and target resolution date.</w:t>
      </w:r>
    </w:p>
    <w:p>
      <w:pPr>
        <w:pStyle w:val="Heading2"/>
      </w:pPr>
      <w:r>
        <w:t>Verification and Troubleshooting</w:t>
      </w:r>
    </w:p>
    <w:p>
      <w:r>
        <w:t>Recalculation matches reported values; units, factors, boundaries and denominators are disclosed.</w:t>
      </w:r>
    </w:p>
    <w:p>
      <w:pPr>
        <w:pStyle w:val="ListBullet"/>
      </w:pPr>
      <w:r>
        <w:t>A total does not reconcile: check period, entity scope, units and duplicate rows.</w:t>
      </w:r>
    </w:p>
    <w:p>
      <w:pPr>
        <w:pStyle w:val="ListBullet"/>
      </w:pPr>
      <w:r>
        <w:t>A claim lacks evidence: move it to the issue log and obtain owner approval before use.</w:t>
      </w:r>
    </w:p>
    <w:p>
      <w:pPr>
        <w:pStyle w:val="ListBullet"/>
      </w:pPr>
      <w:r>
        <w:t>A stakeholder or topic was excluded: record the threshold, rationale and governance decision.</w:t>
      </w:r>
    </w:p>
    <w:p>
      <w:pPr>
        <w:pStyle w:val="Heading2"/>
      </w:pPr>
      <w:r>
        <w:t>Cleanup and Handover</w:t>
      </w:r>
    </w:p>
    <w:p>
      <w:r>
        <w:t>Save the final learner files in this Activity folder, remove personal or confidential data, retain source URLs and version dates, and submit only the requested artifact. Keep the completed worksheet with the review comments as the evidence trail.</w:t>
      </w:r>
    </w:p>
    <w:p>
      <w:r>
        <w:br w:type="page"/>
      </w:r>
    </w:p>
    <w:p>
      <w:pPr>
        <w:pStyle w:val="Heading1"/>
      </w:pPr>
      <w:r>
        <w:t>Activity 8 Build social disclosure controls</w:t>
      </w:r>
    </w:p>
    <w:p>
      <w:r>
        <w:rPr>
          <w:b/>
        </w:rPr>
        <w:t xml:space="preserve">Learning outcome: </w:t>
      </w:r>
      <w:r>
        <w:t>LO2</w:t>
      </w:r>
    </w:p>
    <w:p>
      <w:r>
        <w:rPr>
          <w:b/>
        </w:rPr>
        <w:t xml:space="preserve">Duration: </w:t>
      </w:r>
      <w:r>
        <w:t>65 minutes</w:t>
      </w:r>
    </w:p>
    <w:p>
      <w:r>
        <w:rPr>
          <w:b/>
        </w:rPr>
        <w:t xml:space="preserve">Real use case: </w:t>
      </w:r>
      <w:r>
        <w:t>Regional logistics workforce</w:t>
      </w:r>
    </w:p>
    <w:p>
      <w:r>
        <w:rPr>
          <w:b/>
        </w:rPr>
        <w:t xml:space="preserve">Objective: </w:t>
      </w:r>
      <w:r>
        <w:t>Prepare employment, safety, diversity and privacy metrics without denominator or confidentiality errors.</w:t>
      </w:r>
    </w:p>
    <w:p>
      <w:r>
        <w:rPr>
          <w:b/>
        </w:rPr>
        <w:t xml:space="preserve">Inputs: </w:t>
      </w:r>
      <w:r>
        <w:t>HR roster, hours, incident, training and complaint datasets</w:t>
      </w:r>
    </w:p>
    <w:p>
      <w:r>
        <w:rPr>
          <w:b/>
        </w:rPr>
        <w:t xml:space="preserve">Deliverable: </w:t>
      </w:r>
      <w:r>
        <w:t>Social KPI tables and privacy review record</w:t>
      </w:r>
    </w:p>
    <w:p>
      <w:pPr>
        <w:pStyle w:val="Heading2"/>
      </w:pPr>
      <w:r>
        <w:t>Detailed Procedure</w:t>
      </w:r>
    </w:p>
    <w:p>
      <w:pPr>
        <w:pStyle w:val="Heading3"/>
      </w:pPr>
      <w:r>
        <w:t>Step 1</w:t>
      </w:r>
    </w:p>
    <w:p>
      <w:r>
        <w:t>Define employee and worker populations.</w:t>
      </w:r>
    </w:p>
    <w:p>
      <w:r>
        <w:t>Record the source, boundary, owner, judgement and evidence link in the matching worksheet. If the required evidence is unavailable, do not invent a value; log the limitation, action owner and target resolution date.</w:t>
      </w:r>
    </w:p>
    <w:p>
      <w:pPr>
        <w:pStyle w:val="Heading3"/>
      </w:pPr>
      <w:r>
        <w:t>Step 2</w:t>
      </w:r>
    </w:p>
    <w:p>
      <w:r>
        <w:t>Calculate hire, turnover and injury rates.</w:t>
      </w:r>
    </w:p>
    <w:p>
      <w:r>
        <w:t>Record the source, boundary, owner, judgement and evidence link in the matching worksheet. If the required evidence is unavailable, do not invent a value; log the limitation, action owner and target resolution date.</w:t>
      </w:r>
    </w:p>
    <w:p>
      <w:pPr>
        <w:pStyle w:val="Heading3"/>
      </w:pPr>
      <w:r>
        <w:t>Step 3</w:t>
      </w:r>
    </w:p>
    <w:p>
      <w:r>
        <w:t>Reconcile training coverage to eligible population.</w:t>
      </w:r>
    </w:p>
    <w:p>
      <w:r>
        <w:t>Record the source, boundary, owner, judgement and evidence link in the matching worksheet. If the required evidence is unavailable, do not invent a value; log the limitation, action owner and target resolution date.</w:t>
      </w:r>
    </w:p>
    <w:p>
      <w:pPr>
        <w:pStyle w:val="Heading3"/>
      </w:pPr>
      <w:r>
        <w:t>Step 4</w:t>
      </w:r>
    </w:p>
    <w:p>
      <w:r>
        <w:t>Aggregate diversity categories and suppress small cells.</w:t>
      </w:r>
    </w:p>
    <w:p>
      <w:r>
        <w:t>Record the source, boundary, owner, judgement and evidence link in the matching worksheet. If the required evidence is unavailable, do not invent a value; log the limitation, action owner and target resolution date.</w:t>
      </w:r>
    </w:p>
    <w:p>
      <w:pPr>
        <w:pStyle w:val="Heading3"/>
      </w:pPr>
      <w:r>
        <w:t>Step 5</w:t>
      </w:r>
    </w:p>
    <w:p>
      <w:r>
        <w:t>Classify complaints as inquiry, allegation or substantiated case.</w:t>
      </w:r>
    </w:p>
    <w:p>
      <w:r>
        <w:t>Record the source, boundary, owner, judgement and evidence link in the matching worksheet. If the required evidence is unavailable, do not invent a value; log the limitation, action owner and target resolution date.</w:t>
      </w:r>
    </w:p>
    <w:p>
      <w:pPr>
        <w:pStyle w:val="Heading2"/>
      </w:pPr>
      <w:r>
        <w:t>Verification and Troubleshooting</w:t>
      </w:r>
    </w:p>
    <w:p>
      <w:r>
        <w:t>Numerators and denominators use the same population; no small cell reveals an individual.</w:t>
      </w:r>
    </w:p>
    <w:p>
      <w:pPr>
        <w:pStyle w:val="ListBullet"/>
      </w:pPr>
      <w:r>
        <w:t>A total does not reconcile: check period, entity scope, units and duplicate rows.</w:t>
      </w:r>
    </w:p>
    <w:p>
      <w:pPr>
        <w:pStyle w:val="ListBullet"/>
      </w:pPr>
      <w:r>
        <w:t>A claim lacks evidence: move it to the issue log and obtain owner approval before use.</w:t>
      </w:r>
    </w:p>
    <w:p>
      <w:pPr>
        <w:pStyle w:val="ListBullet"/>
      </w:pPr>
      <w:r>
        <w:t>A stakeholder or topic was excluded: record the threshold, rationale and governance decision.</w:t>
      </w:r>
    </w:p>
    <w:p>
      <w:pPr>
        <w:pStyle w:val="Heading2"/>
      </w:pPr>
      <w:r>
        <w:t>Cleanup and Handover</w:t>
      </w:r>
    </w:p>
    <w:p>
      <w:r>
        <w:t>Save the final learner files in this Activity folder, remove personal or confidential data, retain source URLs and version dates, and submit only the requested artifact. Keep the completed worksheet with the review comments as the evidence trail.</w:t>
      </w:r>
    </w:p>
    <w:p>
      <w:pPr>
        <w:pStyle w:val="Heading1"/>
      </w:pPr>
      <w:r>
        <w:t>Learning Unit 3 Draft Verify and Submit</w:t>
      </w:r>
    </w:p>
    <w:p>
      <w:pPr>
        <w:pStyle w:val="Heading2"/>
      </w:pPr>
      <w:r>
        <w:t>A reporting plan is a controlled production system</w:t>
      </w:r>
    </w:p>
    <w:p>
      <w:r>
        <w:t>Concrete contract: work breakdown, disclosure owner, evidence due date, reviewer, status and dependency.</w:t>
      </w:r>
    </w:p>
    <w:p>
      <w:r>
        <w:t>Decision rule: freeze scope before drafting and escalate overdue critical evidence. Failure to watch: writing starts before data ownership is resolved.</w:t>
      </w:r>
    </w:p>
    <w:p>
      <w:r>
        <w:t>Verification: status dashboard shows disclosure-level readiness and blockers. Source basis: Hasan, Sustainability Accounting and Reporting Theory and Practice; Bernerberg, Sustainability Reporting Framework; Hussey and Ong, Financial and Sustainability Reporting.</w:t>
      </w:r>
    </w:p>
    <w:p>
      <w:pPr>
        <w:pStyle w:val="Heading2"/>
      </w:pPr>
      <w:r>
        <w:t>A data dictionary turns KPIs into contracts</w:t>
      </w:r>
    </w:p>
    <w:p>
      <w:r>
        <w:t>Concrete contract: name, definition, unit, boundary, source, frequency, owner, formula and controls.</w:t>
      </w:r>
    </w:p>
    <w:p>
      <w:r>
        <w:t>Decision rule: reject any metric without a reproducible definition. Failure to watch: same label is calculated differently by sites.</w:t>
      </w:r>
    </w:p>
    <w:p>
      <w:r>
        <w:t>Verification: independent reviewer reproduces metric from dictionary and source. Source basis: Hasan, Sustainability Accounting and Reporting Theory and Practice; Bernerberg, Sustainability Reporting Framework; Hussey and Ong, Financial and Sustainability Reporting.</w:t>
      </w:r>
    </w:p>
    <w:p>
      <w:pPr>
        <w:pStyle w:val="Heading2"/>
      </w:pPr>
      <w:r>
        <w:t>Absolute and intensity metrics answer different questions</w:t>
      </w:r>
    </w:p>
    <w:p>
      <w:r>
        <w:t>Concrete contract: absolute impact and normalised ratio with explicit denominator.</w:t>
      </w:r>
    </w:p>
    <w:p>
      <w:r>
        <w:t>Decision rule: publish both where growth can mask efficiency or vice versa. Failure to watch: revenue intensity improves while absolute emissions rise.</w:t>
      </w:r>
    </w:p>
    <w:p>
      <w:r>
        <w:t>Verification: trend chart displays numerator, denominator and ratio together. Source basis: SAP, What is sustainability reporting and how to do it right.</w:t>
      </w:r>
    </w:p>
    <w:p>
      <w:pPr>
        <w:pStyle w:val="Heading2"/>
      </w:pPr>
      <w:r>
        <w:t>Calculations must preserve factors and assumptions</w:t>
      </w:r>
    </w:p>
    <w:p>
      <w:r>
        <w:t>Concrete contract: raw activity data, conversion, emission factor, GWP, rounding and uncertainty.</w:t>
      </w:r>
    </w:p>
    <w:p>
      <w:r>
        <w:t>Decision rule: lock factor version for the reporting period and disclose material changes. Failure to watch: formula cells overwritten with values destroy traceability.</w:t>
      </w:r>
    </w:p>
    <w:p>
      <w:r>
        <w:t>Verification: recalculation from raw records matches reported value within tolerance. Source basis: Hasan, Sustainability Accounting and Reporting Theory and Practice; Bernerberg, Sustainability Reporting Framework; Hussey and Ong, Financial and Sustainability Reporting.</w:t>
      </w:r>
    </w:p>
    <w:p>
      <w:pPr>
        <w:pStyle w:val="Heading2"/>
      </w:pPr>
      <w:r>
        <w:t>Source-to-report controls prevent spreadsheet drift</w:t>
      </w:r>
    </w:p>
    <w:p>
      <w:r>
        <w:t>Concrete contract: unique metric ID, source file, preparer, reviewer, timestamp and change log.</w:t>
      </w:r>
    </w:p>
    <w:p>
      <w:r>
        <w:t>Decision rule: one controlled master; published figures are linked, not retyped. Failure to watch: copy-paste creates inconsistent numbers across report sections.</w:t>
      </w:r>
    </w:p>
    <w:p>
      <w:r>
        <w:t>Verification: cross-foot and duplicate-value tests return zero exceptions. Source basis: Hasan, Sustainability Accounting and Reporting Theory and Practice; Bernerberg, Sustainability Reporting Framework; Hussey and Ong, Financial and Sustainability Reporting.</w:t>
      </w:r>
    </w:p>
    <w:p>
      <w:pPr>
        <w:pStyle w:val="Heading2"/>
      </w:pPr>
      <w:r>
        <w:t>Chart choice follows the comparison question</w:t>
      </w:r>
    </w:p>
    <w:p>
      <w:r>
        <w:t>Concrete contract: line for time, bars for categories, waterfall for bridge, table for exact values.</w:t>
      </w:r>
    </w:p>
    <w:p>
      <w:r>
        <w:t>Decision rule: use a common baseline and label units, periods and scope. Failure to watch: truncated axes exaggerate small changes.</w:t>
      </w:r>
    </w:p>
    <w:p>
      <w:r>
        <w:t>Verification: chart values reconcile to table and accessible narrative. Source basis: Hasan, Sustainability Accounting and Reporting Theory and Practice; Bernerberg, Sustainability Reporting Framework; Hussey and Ong, Financial and Sustainability Reporting.</w:t>
      </w:r>
    </w:p>
    <w:p>
      <w:pPr>
        <w:pStyle w:val="Heading2"/>
      </w:pPr>
      <w:r>
        <w:t>Balanced narrative reports shortfalls and context</w:t>
      </w:r>
    </w:p>
    <w:p>
      <w:r>
        <w:t>Concrete contract: target, current result, variance, cause, corrective action and forward commitment.</w:t>
      </w:r>
    </w:p>
    <w:p>
      <w:r>
        <w:t>Decision rule: state misses with the same prominence as achievements. Failure to watch: selective success stories create greenwashing risk.</w:t>
      </w:r>
    </w:p>
    <w:p>
      <w:r>
        <w:t>Verification: claim register links every statement to evidence and approver. Source basis: GRI 1 Foundation 2021, Global Reporting Initiative.</w:t>
      </w:r>
    </w:p>
    <w:p>
      <w:pPr>
        <w:pStyle w:val="Heading2"/>
      </w:pPr>
      <w:r>
        <w:t>Proofreading includes numeric and structural tests</w:t>
      </w:r>
    </w:p>
    <w:p>
      <w:r>
        <w:t>Concrete contract: units, signs, totals, dates, entity names, disclosure codes, cross-references and links.</w:t>
      </w:r>
    </w:p>
    <w:p>
      <w:r>
        <w:t>Decision rule: run independent content and data reviews before approval. Failure to watch: grammar-only proofreading leaves material numeric errors.</w:t>
      </w:r>
    </w:p>
    <w:p>
      <w:r>
        <w:t>Verification: issue log closes all critical and high findings. Source basis: Hasan, Sustainability Accounting and Reporting Theory and Practice; Bernerberg, Sustainability Reporting Framework; Hussey and Ong, Financial and Sustainability Reporting.</w:t>
      </w:r>
    </w:p>
    <w:p>
      <w:pPr>
        <w:pStyle w:val="Heading2"/>
      </w:pPr>
      <w:r>
        <w:t>Governance approval needs version control</w:t>
      </w:r>
    </w:p>
    <w:p>
      <w:r>
        <w:t>Concrete contract: draft ID, change summary, evidence freeze, legal review, Board approval and release version.</w:t>
      </w:r>
    </w:p>
    <w:p>
      <w:r>
        <w:t>Decision rule: no post-approval edits without re-approval of affected sections. Failure to watch: last-minute edits bypass the evidence owner.</w:t>
      </w:r>
    </w:p>
    <w:p>
      <w:r>
        <w:t>Verification: hash and approval record bind the published file to signed version. Source basis: GRI 2 General Disclosures 2021, Global Reporting Initiative.</w:t>
      </w:r>
    </w:p>
    <w:p>
      <w:pPr>
        <w:pStyle w:val="Heading2"/>
      </w:pPr>
      <w:r>
        <w:t>Assurance readiness starts before year end</w:t>
      </w:r>
    </w:p>
    <w:p>
      <w:r>
        <w:t>Concrete contract: criteria, subject matter, boundary, evidence owner, control and sample population.</w:t>
      </w:r>
    </w:p>
    <w:p>
      <w:r>
        <w:t>Decision rule: perform readiness testing on high-risk metrics before data freeze. Failure to watch: assurer discovers missing source evidence after publication deadline.</w:t>
      </w:r>
    </w:p>
    <w:p>
      <w:r>
        <w:t>Verification: PBC list and dry-run samples show complete evidence chains. Source basis: SGX Mainboard Rules 711A and 711B, current at 11 September 2026.</w:t>
      </w:r>
    </w:p>
    <w:p>
      <w:pPr>
        <w:pStyle w:val="Heading2"/>
      </w:pPr>
      <w:r>
        <w:t>Submission is a multi-channel release control</w:t>
      </w:r>
    </w:p>
    <w:p>
      <w:r>
        <w:t>Concrete contract: Board-approved PDF, content index, statement of use, GRI notification, website and stakeholder notice.</w:t>
      </w:r>
    </w:p>
    <w:p>
      <w:r>
        <w:t>Decision rule: release the same approved version across channels. Failure to watch: website and annual report carry different totals.</w:t>
      </w:r>
    </w:p>
    <w:p>
      <w:r>
        <w:t>Verification: post-release link and checksum inventory confirms consistency. Source basis: GRI 1 Foundation 2021, Global Reporting Initiative.</w:t>
      </w:r>
    </w:p>
    <w:p>
      <w:pPr>
        <w:pStyle w:val="Heading2"/>
      </w:pPr>
      <w:r>
        <w:t>Monitoring closes the reporting cycle</w:t>
      </w:r>
    </w:p>
    <w:p>
      <w:r>
        <w:t>Concrete contract: baseline, target, leading indicator, lagging outcome, owner, cadence and escalation threshold.</w:t>
      </w:r>
    </w:p>
    <w:p>
      <w:r>
        <w:t>Decision rule: trigger corrective action when variance exceeds tolerance. Failure to watch: targets reset annually without learning from misses.</w:t>
      </w:r>
    </w:p>
    <w:p>
      <w:r>
        <w:t>Verification: quarterly review minutes record variance, decision and follow-up owner. Source basis: SAP, What is sustainability reporting and how to do it right.</w:t>
      </w:r>
    </w:p>
    <w:p>
      <w:r>
        <w:br w:type="page"/>
      </w:r>
    </w:p>
    <w:p>
      <w:pPr>
        <w:pStyle w:val="Heading1"/>
      </w:pPr>
      <w:r>
        <w:t>Activity 9 Draft and visualise a material-topic section</w:t>
      </w:r>
    </w:p>
    <w:p>
      <w:r>
        <w:rPr>
          <w:b/>
        </w:rPr>
        <w:t xml:space="preserve">Learning outcome: </w:t>
      </w:r>
      <w:r>
        <w:t>LO3</w:t>
      </w:r>
    </w:p>
    <w:p>
      <w:r>
        <w:rPr>
          <w:b/>
        </w:rPr>
        <w:t xml:space="preserve">Duration: </w:t>
      </w:r>
      <w:r>
        <w:t>70 minutes</w:t>
      </w:r>
    </w:p>
    <w:p>
      <w:r>
        <w:rPr>
          <w:b/>
        </w:rPr>
        <w:t xml:space="preserve">Real use case: </w:t>
      </w:r>
      <w:r>
        <w:t>CDL decarbonisation topic</w:t>
      </w:r>
    </w:p>
    <w:p>
      <w:r>
        <w:rPr>
          <w:b/>
        </w:rPr>
        <w:t xml:space="preserve">Objective: </w:t>
      </w:r>
      <w:r>
        <w:t>Turn controlled data into a balanced GRI 3-3 topic section and decision-useful chart.</w:t>
      </w:r>
    </w:p>
    <w:p>
      <w:r>
        <w:rPr>
          <w:b/>
        </w:rPr>
        <w:t xml:space="preserve">Inputs: </w:t>
      </w:r>
      <w:r>
        <w:t>Topic fiche, KPI table, claim register and chart template</w:t>
      </w:r>
    </w:p>
    <w:p>
      <w:r>
        <w:rPr>
          <w:b/>
        </w:rPr>
        <w:t xml:space="preserve">Deliverable: </w:t>
      </w:r>
      <w:r>
        <w:t>Two-page topic section with editable chart and evidence links</w:t>
      </w:r>
    </w:p>
    <w:p>
      <w:pPr>
        <w:pStyle w:val="Heading2"/>
      </w:pPr>
      <w:r>
        <w:t>Detailed Procedure</w:t>
      </w:r>
    </w:p>
    <w:p>
      <w:pPr>
        <w:pStyle w:val="Heading3"/>
      </w:pPr>
      <w:r>
        <w:t>Step 1</w:t>
      </w:r>
    </w:p>
    <w:p>
      <w:r>
        <w:t>State the impact and affected stakeholders.</w:t>
      </w:r>
    </w:p>
    <w:p>
      <w:r>
        <w:t>Record the source, boundary, owner, judgement and evidence link in the matching worksheet. If the required evidence is unavailable, do not invent a value; log the limitation, action owner and target resolution date.</w:t>
      </w:r>
    </w:p>
    <w:p>
      <w:pPr>
        <w:pStyle w:val="Heading3"/>
      </w:pPr>
      <w:r>
        <w:t>Step 2</w:t>
      </w:r>
    </w:p>
    <w:p>
      <w:r>
        <w:t>Describe policy, actions and due-diligence process.</w:t>
      </w:r>
    </w:p>
    <w:p>
      <w:r>
        <w:t>Record the source, boundary, owner, judgement and evidence link in the matching worksheet. If the required evidence is unavailable, do not invent a value; log the limitation, action owner and target resolution date.</w:t>
      </w:r>
    </w:p>
    <w:p>
      <w:pPr>
        <w:pStyle w:val="Heading3"/>
      </w:pPr>
      <w:r>
        <w:t>Step 3</w:t>
      </w:r>
    </w:p>
    <w:p>
      <w:r>
        <w:t>Compare result to baseline and target.</w:t>
      </w:r>
    </w:p>
    <w:p>
      <w:r>
        <w:t>Record the source, boundary, owner, judgement and evidence link in the matching worksheet. If the required evidence is unavailable, do not invent a value; log the limitation, action owner and target resolution date.</w:t>
      </w:r>
    </w:p>
    <w:p>
      <w:pPr>
        <w:pStyle w:val="Heading3"/>
      </w:pPr>
      <w:r>
        <w:t>Step 4</w:t>
      </w:r>
    </w:p>
    <w:p>
      <w:r>
        <w:t>Select line, bar, waterfall or table based on the question.</w:t>
      </w:r>
    </w:p>
    <w:p>
      <w:r>
        <w:t>Record the source, boundary, owner, judgement and evidence link in the matching worksheet. If the required evidence is unavailable, do not invent a value; log the limitation, action owner and target resolution date.</w:t>
      </w:r>
    </w:p>
    <w:p>
      <w:pPr>
        <w:pStyle w:val="Heading3"/>
      </w:pPr>
      <w:r>
        <w:t>Step 5</w:t>
      </w:r>
    </w:p>
    <w:p>
      <w:r>
        <w:t>Draft balanced narrative for progress, shortfall and corrective action.</w:t>
      </w:r>
    </w:p>
    <w:p>
      <w:r>
        <w:t>Record the source, boundary, owner, judgement and evidence link in the matching worksheet. If the required evidence is unavailable, do not invent a value; log the limitation, action owner and target resolution date.</w:t>
      </w:r>
    </w:p>
    <w:p>
      <w:pPr>
        <w:pStyle w:val="Heading2"/>
      </w:pPr>
      <w:r>
        <w:t>Verification and Troubleshooting</w:t>
      </w:r>
    </w:p>
    <w:p>
      <w:r>
        <w:t>Chart reconciles to the table; narrative reports both achievement and material shortfall.</w:t>
      </w:r>
    </w:p>
    <w:p>
      <w:pPr>
        <w:pStyle w:val="ListBullet"/>
      </w:pPr>
      <w:r>
        <w:t>A total does not reconcile: check period, entity scope, units and duplicate rows.</w:t>
      </w:r>
    </w:p>
    <w:p>
      <w:pPr>
        <w:pStyle w:val="ListBullet"/>
      </w:pPr>
      <w:r>
        <w:t>A claim lacks evidence: move it to the issue log and obtain owner approval before use.</w:t>
      </w:r>
    </w:p>
    <w:p>
      <w:pPr>
        <w:pStyle w:val="ListBullet"/>
      </w:pPr>
      <w:r>
        <w:t>A stakeholder or topic was excluded: record the threshold, rationale and governance decision.</w:t>
      </w:r>
    </w:p>
    <w:p>
      <w:pPr>
        <w:pStyle w:val="Heading2"/>
      </w:pPr>
      <w:r>
        <w:t>Cleanup and Handover</w:t>
      </w:r>
    </w:p>
    <w:p>
      <w:r>
        <w:t>Save the final learner files in this Activity folder, remove personal or confidential data, retain source URLs and version dates, and submit only the requested artifact. Keep the completed worksheet with the review comments as the evidence trail.</w:t>
      </w:r>
    </w:p>
    <w:p>
      <w:r>
        <w:br w:type="page"/>
      </w:r>
    </w:p>
    <w:p>
      <w:pPr>
        <w:pStyle w:val="Heading1"/>
      </w:pPr>
      <w:r>
        <w:t>Activity 10 Proofread, assure and submit the report</w:t>
      </w:r>
    </w:p>
    <w:p>
      <w:r>
        <w:rPr>
          <w:b/>
        </w:rPr>
        <w:t xml:space="preserve">Learning outcome: </w:t>
      </w:r>
      <w:r>
        <w:t>LO3</w:t>
      </w:r>
    </w:p>
    <w:p>
      <w:r>
        <w:rPr>
          <w:b/>
        </w:rPr>
        <w:t xml:space="preserve">Duration: </w:t>
      </w:r>
      <w:r>
        <w:t>75 minutes</w:t>
      </w:r>
    </w:p>
    <w:p>
      <w:r>
        <w:rPr>
          <w:b/>
        </w:rPr>
        <w:t xml:space="preserve">Real use case: </w:t>
      </w:r>
      <w:r>
        <w:t>Board release simulation</w:t>
      </w:r>
    </w:p>
    <w:p>
      <w:r>
        <w:rPr>
          <w:b/>
        </w:rPr>
        <w:t xml:space="preserve">Objective: </w:t>
      </w:r>
      <w:r>
        <w:t>Execute numeric, content, approval and publication controls on a near-final report.</w:t>
      </w:r>
    </w:p>
    <w:p>
      <w:r>
        <w:rPr>
          <w:b/>
        </w:rPr>
        <w:t xml:space="preserve">Inputs: </w:t>
      </w:r>
      <w:r>
        <w:t>Near-final report, content index, issue log and approval checklist</w:t>
      </w:r>
    </w:p>
    <w:p>
      <w:r>
        <w:rPr>
          <w:b/>
        </w:rPr>
        <w:t xml:space="preserve">Deliverable: </w:t>
      </w:r>
      <w:r>
        <w:t>Closed issue log, approval record and submission inventory</w:t>
      </w:r>
    </w:p>
    <w:p>
      <w:pPr>
        <w:pStyle w:val="Heading2"/>
      </w:pPr>
      <w:r>
        <w:t>Detailed Procedure</w:t>
      </w:r>
    </w:p>
    <w:p>
      <w:pPr>
        <w:pStyle w:val="Heading3"/>
      </w:pPr>
      <w:r>
        <w:t>Step 1</w:t>
      </w:r>
    </w:p>
    <w:p>
      <w:r>
        <w:t>Cross-foot tables and reconcile repeated figures.</w:t>
      </w:r>
    </w:p>
    <w:p>
      <w:r>
        <w:t>Record the source, boundary, owner, judgement and evidence link in the matching worksheet. If the required evidence is unavailable, do not invent a value; log the limitation, action owner and target resolution date.</w:t>
      </w:r>
    </w:p>
    <w:p>
      <w:pPr>
        <w:pStyle w:val="Heading3"/>
      </w:pPr>
      <w:r>
        <w:t>Step 2</w:t>
      </w:r>
    </w:p>
    <w:p>
      <w:r>
        <w:t>Validate units, dates, entity names, codes, links and omissions.</w:t>
      </w:r>
    </w:p>
    <w:p>
      <w:r>
        <w:t>Record the source, boundary, owner, judgement and evidence link in the matching worksheet. If the required evidence is unavailable, do not invent a value; log the limitation, action owner and target resolution date.</w:t>
      </w:r>
    </w:p>
    <w:p>
      <w:pPr>
        <w:pStyle w:val="Heading3"/>
      </w:pPr>
      <w:r>
        <w:t>Step 3</w:t>
      </w:r>
    </w:p>
    <w:p>
      <w:r>
        <w:t>Close critical findings and document remaining limitations.</w:t>
      </w:r>
    </w:p>
    <w:p>
      <w:r>
        <w:t>Record the source, boundary, owner, judgement and evidence link in the matching worksheet. If the required evidence is unavailable, do not invent a value; log the limitation, action owner and target resolution date.</w:t>
      </w:r>
    </w:p>
    <w:p>
      <w:pPr>
        <w:pStyle w:val="Heading3"/>
      </w:pPr>
      <w:r>
        <w:t>Step 4</w:t>
      </w:r>
    </w:p>
    <w:p>
      <w:r>
        <w:t>Bind the approved version to Board sign-off and checksum.</w:t>
      </w:r>
    </w:p>
    <w:p>
      <w:r>
        <w:t>Record the source, boundary, owner, judgement and evidence link in the matching worksheet. If the required evidence is unavailable, do not invent a value; log the limitation, action owner and target resolution date.</w:t>
      </w:r>
    </w:p>
    <w:p>
      <w:pPr>
        <w:pStyle w:val="Heading3"/>
      </w:pPr>
      <w:r>
        <w:t>Step 5</w:t>
      </w:r>
    </w:p>
    <w:p>
      <w:r>
        <w:t>Run post-release link, filename and channel-consistency checks.</w:t>
      </w:r>
    </w:p>
    <w:p>
      <w:r>
        <w:t>Record the source, boundary, owner, judgement and evidence link in the matching worksheet. If the required evidence is unavailable, do not invent a value; log the limitation, action owner and target resolution date.</w:t>
      </w:r>
    </w:p>
    <w:p>
      <w:pPr>
        <w:pStyle w:val="Heading2"/>
      </w:pPr>
      <w:r>
        <w:t>Verification and Troubleshooting</w:t>
      </w:r>
    </w:p>
    <w:p>
      <w:r>
        <w:t>Zero open critical findings; the approved hash matches every released copy and every content-index link resolves.</w:t>
      </w:r>
    </w:p>
    <w:p>
      <w:pPr>
        <w:pStyle w:val="ListBullet"/>
      </w:pPr>
      <w:r>
        <w:t>A total does not reconcile: check period, entity scope, units and duplicate rows.</w:t>
      </w:r>
    </w:p>
    <w:p>
      <w:pPr>
        <w:pStyle w:val="ListBullet"/>
      </w:pPr>
      <w:r>
        <w:t>A claim lacks evidence: move it to the issue log and obtain owner approval before use.</w:t>
      </w:r>
    </w:p>
    <w:p>
      <w:pPr>
        <w:pStyle w:val="ListBullet"/>
      </w:pPr>
      <w:r>
        <w:t>A stakeholder or topic was excluded: record the threshold, rationale and governance decision.</w:t>
      </w:r>
    </w:p>
    <w:p>
      <w:pPr>
        <w:pStyle w:val="Heading2"/>
      </w:pPr>
      <w:r>
        <w:t>Cleanup and Handover</w:t>
      </w:r>
    </w:p>
    <w:p>
      <w:r>
        <w:t>Save the final learner files in this Activity folder, remove personal or confidential data, retain source URLs and version dates, and submit only the requested artifact. Keep the completed worksheet with the review comments as the evidence trail.</w:t>
      </w:r>
    </w:p>
    <w:p>
      <w:pPr>
        <w:pStyle w:val="Heading1"/>
      </w:pPr>
      <w:r>
        <w:t>Assessment Preparation</w:t>
      </w:r>
    </w:p>
    <w:p>
      <w:r>
        <w:t>The Written Assessment has five open-ended questions covering K1-K5. The Case Study has three open-ended questions covering A1-A5. Both are 60 minutes and open book. Use the Activities as the evidence base for applied answers.</w:t>
      </w:r>
    </w:p>
    <w:p>
      <w:pPr>
        <w:pStyle w:val="Heading1"/>
      </w:pPr>
      <w:r>
        <w:t>References</w:t>
      </w:r>
    </w:p>
    <w:p>
      <w:pPr>
        <w:pStyle w:val="ListBullet"/>
      </w:pPr>
      <w:r>
        <w:t>Global Reporting Initiative. GRI 1 Foundation 2021; GRI 2 General Disclosures 2021; GRI 3 Material Topics 2021; consolidated Standards set accessed 11 Sep 2026.</w:t>
      </w:r>
    </w:p>
    <w:p>
      <w:pPr>
        <w:pStyle w:val="ListBullet"/>
      </w:pPr>
      <w:r>
        <w:t>Singapore Exchange. Mainboard Rules 711A and 711B and Practice Note 7.6, accessed 11 Sep 2026.</w:t>
      </w:r>
    </w:p>
    <w:p>
      <w:pPr>
        <w:pStyle w:val="ListBullet"/>
      </w:pPr>
      <w:r>
        <w:t>Accounting and Corporate Regulatory Authority. Sustainability reporting and assurance requirements, updated 27 Jul 2026.</w:t>
      </w:r>
    </w:p>
    <w:p>
      <w:pPr>
        <w:pStyle w:val="ListBullet"/>
      </w:pPr>
      <w:r>
        <w:t>SAP. What is sustainability reporting and how to do it right, accessed 11 Sep 2026.</w:t>
      </w:r>
    </w:p>
    <w:p>
      <w:pPr>
        <w:pStyle w:val="ListBullet"/>
      </w:pPr>
      <w:r>
        <w:t>PwC US and PwC Slovakia. ESG reporting service and preparation perspectives, accessed 11 Sep 2026.</w:t>
      </w:r>
    </w:p>
    <w:p>
      <w:pPr>
        <w:pStyle w:val="ListBullet"/>
      </w:pPr>
      <w:r>
        <w:t>Nasdaq. A Guide to Sustainability Reporting, accessed 11 Sep 2026.</w:t>
      </w:r>
    </w:p>
    <w:p>
      <w:pPr>
        <w:pStyle w:val="ListBullet"/>
      </w:pPr>
      <w:r>
        <w:t>Greenly. Sustainability Reporting: Frameworks and rules, accessed 11 Sep 2026.</w:t>
      </w:r>
    </w:p>
    <w:p>
      <w:pPr>
        <w:pStyle w:val="ListBullet"/>
      </w:pPr>
      <w:r>
        <w:t>Coursera. Sustainability Reporting: Components, Uses, and Benefits, accessed 11 Sep 2026.</w:t>
      </w:r>
    </w:p>
    <w:p>
      <w:pPr>
        <w:pStyle w:val="ListBullet"/>
      </w:pPr>
      <w:r>
        <w:t>Wikipedia contributors. Sustainability reporting, used only as a background orientation source, accessed 11 Sep 2026.</w:t>
      </w:r>
    </w:p>
    <w:p>
      <w:pPr>
        <w:pStyle w:val="ListBullet"/>
      </w:pPr>
      <w:r>
        <w:t>The Business Times. Singapore companies should report ESG impacts in financial statements, 3 Sep 2026.</w:t>
      </w:r>
    </w:p>
    <w:p>
      <w:pPr>
        <w:pStyle w:val="ListBullet"/>
      </w:pPr>
      <w:r>
        <w:t>City Developments Limited. Integrated Sustainability Reports 2025 and 2026 and governance/materiality pages.</w:t>
      </w:r>
    </w:p>
    <w:p>
      <w:pPr>
        <w:pStyle w:val="ListBullet"/>
      </w:pPr>
      <w:r>
        <w:t>Singtel Group. Sustainability Report 2025; DBS Group. Sustainability Report 2025.</w:t>
      </w:r>
    </w:p>
    <w:p>
      <w:pPr>
        <w:pStyle w:val="ListBullet"/>
      </w:pPr>
      <w:r>
        <w:t>Hasan, R. Sustainability Accounting and Reporting Theory and Practice. Routledge.</w:t>
      </w:r>
    </w:p>
    <w:p>
      <w:pPr>
        <w:pStyle w:val="ListBullet"/>
      </w:pPr>
      <w:r>
        <w:t>Bernerberg, M. Sustainability Reporting Framework.</w:t>
      </w:r>
    </w:p>
    <w:p>
      <w:pPr>
        <w:pStyle w:val="ListBullet"/>
      </w:pPr>
      <w:r>
        <w:t>Hussey, R. and Ong, A. Financial and Sustainability Reporting.</w:t>
      </w:r>
    </w:p>
    <w:sectPr w:rsidR="00FC693F" w:rsidRPr="0006063C" w:rsidSect="00034616">
      <w:headerReference w:type="default" r:id="rId10"/>
      <w:footerReference w:type="default" r:id="rId11"/>
      <w:pgSz w:w="12240" w:h="15840"/>
      <w:pgMar w:top="1037" w:right="1080" w:bottom="1037"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 2026 Tertiary Infotech Academy Pte Ltd · Page </w:t>
    </w:r>
    <w:r>
      <w:fldChar w:fldCharType="begin"/>
      <w:instrText xml:space="preserve">PAGE</w:instrText>
      <w:fldChar w:fldCharType="end"/>
    </w:r>
    <w: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Sustainability Reporting and GRI Standards · TGS-2023036644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