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</w:p>
    <w:p>
      <w:pPr>
        <w:spacing w:before="0" w:after="200"/>
      </w:pP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b/>
          <w:i w:val="0"/>
          <w:color w:val="111827"/>
          <w:sz w:val="20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4B5563"/>
          <w:sz w:val="17"/>
        </w:rPr>
        <w:t>UEN: 201200696W</w:t>
      </w:r>
    </w:p>
    <w:p>
      <w:pPr>
        <w:spacing w:before="0" w:after="160"/>
        <w:jc w:val="center"/>
      </w:pPr>
      <w:r>
        <w:rPr>
          <w:rFonts w:ascii="Arial" w:hAnsi="Arial"/>
          <w:b/>
          <w:i w:val="0"/>
          <w:color w:val="1F6FEB"/>
          <w:sz w:val="36"/>
        </w:rPr>
        <w:t>ANSWER TO PRACTICAL PERFORMANCE ASSESSMENT</w:t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color w:val="4B5563"/>
          <w:sz w:val="20"/>
        </w:rPr>
        <w:t>For</w:t>
      </w:r>
    </w:p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102-course-ba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Arial" w:hAnsi="Arial"/>
          <w:b/>
          <w:i w:val="0"/>
          <w:color w:val="111827"/>
          <w:sz w:val="32"/>
        </w:rPr>
        <w:t>Microsoft Certified Azure AI Engineer Associate AI-102 Training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111827"/>
          <w:sz w:val="19"/>
        </w:rPr>
        <w:t>TGS Ref No: TGS-2023036651</w:t>
      </w:r>
    </w:p>
    <w:p>
      <w:pPr>
        <w:spacing w:before="0" w:after="0"/>
        <w:jc w:val="center"/>
      </w:pPr>
      <w:r>
        <w:rPr>
          <w:rFonts w:ascii="Arial" w:hAnsi="Arial"/>
          <w:b w:val="0"/>
          <w:i w:val="0"/>
          <w:color w:val="4B5563"/>
          <w:sz w:val="18"/>
        </w:rPr>
        <w:t>Conducted by</w:t>
      </w:r>
    </w:p>
    <w:p>
      <w:pPr>
        <w:spacing w:before="0" w:after="0"/>
        <w:jc w:val="center"/>
      </w:pPr>
      <w:r>
        <w:rPr>
          <w:rFonts w:ascii="Arial" w:hAnsi="Arial"/>
          <w:b/>
          <w:i w:val="0"/>
          <w:color w:val="111827"/>
          <w:sz w:val="20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4B5563"/>
          <w:sz w:val="17"/>
        </w:rPr>
        <w:t>UEN: 201200696W</w:t>
      </w:r>
    </w:p>
    <w:p>
      <w:pPr>
        <w:spacing w:before="0" w:after="120"/>
        <w:jc w:val="center"/>
      </w:pPr>
      <w:r>
        <w:rPr>
          <w:rFonts w:ascii="Arial" w:hAnsi="Arial"/>
          <w:b/>
          <w:i w:val="0"/>
          <w:color w:val="1F6FEB"/>
          <w:sz w:val="20"/>
        </w:rPr>
        <w:t>Version v1.0</w:t>
      </w:r>
    </w:p>
    <w:p>
      <w:r>
        <w:br w:type="page"/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1F6FEB"/>
          <w:sz w:val="28"/>
        </w:rPr>
        <w:t>Answer to Practical Performance Assessment (Marking Guide)</w:t>
      </w:r>
    </w:p>
    <w:p>
      <w:pPr>
        <w:spacing w:before="0" w:after="20"/>
        <w:jc w:val="center"/>
      </w:pPr>
      <w:r>
        <w:rPr>
          <w:rFonts w:ascii="Arial" w:hAnsi="Arial"/>
          <w:b/>
          <w:i w:val="0"/>
          <w:color w:val="111827"/>
          <w:sz w:val="22"/>
        </w:rPr>
        <w:t>Microsoft Certified Azure AI Engineer Associate AI-102 Training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4B5563"/>
          <w:sz w:val="18"/>
        </w:rPr>
        <w:t>TGS-2023036651 | v1.0</w:t>
      </w:r>
    </w:p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Assessment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F6FEB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1"/>
              </w:rPr>
              <w:t>Area</w:t>
            </w:r>
          </w:p>
        </w:tc>
        <w:tc>
          <w:tcPr>
            <w:tcW w:type="dxa" w:w="2409"/>
            <w:vAlign w:val="center"/>
            <w:shd w:fill="1F6FEB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1"/>
              </w:rPr>
              <w:t>Slides</w:t>
            </w:r>
          </w:p>
        </w:tc>
        <w:tc>
          <w:tcPr>
            <w:tcW w:type="dxa" w:w="2409"/>
            <w:vAlign w:val="center"/>
            <w:shd w:fill="1F6FEB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1"/>
              </w:rPr>
              <w:t>Labs</w:t>
            </w:r>
          </w:p>
        </w:tc>
        <w:tc>
          <w:tcPr>
            <w:tcW w:type="dxa" w:w="2409"/>
            <w:vAlign w:val="center"/>
            <w:shd w:fill="1F6FEB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1"/>
              </w:rPr>
              <w:t>Assessment Coverage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Plan, Manage, Monitor, and Secure an Azure AI Solution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17-21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1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K1-K4, LO1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Responsible AI, Content Safety, Governance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22-26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2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K5-K8, LO2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Generative AI, Foundry, Azure OpenAI, Prompt Flow, RAG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27-31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3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K9-K12, LO3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Agentic AI, Foundry Agent Service, Multi-Agent Concepts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32-36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4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K13-K16, LO4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Computer Vision, Custom Vision, Video Insights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37-41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5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K17-K20, LO5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NLP, Language, Speech, Translation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42-46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6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K21-K24, LO6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Custom Language Models and Question Answering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48-52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7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K25-K28, LO7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Azure AI Search, Knowledge Mining, Vector Search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53-57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8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K29-K32, LO8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Document Intelligence and Content Understanding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58-62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9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K33-K36, LO9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AI-102 Capstone and Course Review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63-67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Lab 10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K37-K40, LO10</w:t>
            </w:r>
          </w:p>
        </w:tc>
      </w:tr>
    </w:tbl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Model Practical Evidence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2"/>
        </w:rPr>
        <w:t>The assessor should award credit where the candidate evidence follows the lab sequence and demonstrates the stated practical outcome.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1 (LO1) - Plan, Manage, Monitor, and Secure an Azure AI Solution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Aligned to: Lab 1 and PPT slides 17-21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Expected lab-aligned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Service-to-requirement map.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Foundry/resource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Security controls.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Monitoring and cost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Architecture diagram.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Validation standard: You should have a service map, security plan, monitoring plan, and architecture diagram.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2 (LO2) - Responsible AI, Content Safety, Governance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Aligned to: Lab 2 and PPT slides 22-26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Expected lab-aligned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Responsible AI risk register.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Content safety control matrix.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Safety policy.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Governance scenario decisions.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Incident response plan.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Validation standard: You should have responsible AI controls, safety policy, scenario decisions, and incident plan.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3 (LO3) - Generative AI, Foundry, Azure OpenAI, Prompt Flow, RAG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Aligned to: Lab 3 and PPT slides 27-31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Expected lab-aligned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Model selection notes.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Prompt templates.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Prompt flow diagram.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RAG design.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Evaluation table.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Validation standard: You should have model selection notes, prompt templates, prompt flow diagram, RAG design, and evaluation table.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4 (LO4) - Agentic AI, Foundry Agent Service, Multi-Agent Concepts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Aligned to: Lab 4 and PPT slides 32-36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Expected lab-aligned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Agent use case.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Resource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Tool permission table.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Orchestration diagram.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Multi-agent review notes.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Validation standard: You should have agent use case, resource plan, tool table, orchestration diagram, and multi-agent notes.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5 (LO5) - Computer Vision, Custom Vision, Video Insights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Aligned to: Lab 5 and PPT slides 37-41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Expected lab-aligned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Vision requirement map.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Image analysis request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Custom vision training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Video insight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Responsible AI review.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Validation standard: You should have vision mapping, request plan, custom vision plan, video insight notes, and responsible AI review.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6 (LO6) - NLP, Language, Speech, Translation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Aligned to: Lab 6 and PPT slides 42-46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Expected lab-aligned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Language task map.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Text analysis pipeline.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Speech pipeline.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SSML notes.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Translation review plan.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Validation standard: You should have language task mapping, text pipeline, speech pipeline, SSML notes, and translation notes.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7 (LO7) - Custom Language Models and Question Answering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Aligned to: Lab 7 and PPT slides 48-52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Expected lab-aligned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Intent and entity table.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Training data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Question answering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Multilingual strategy.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Backup and recovery notes.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Validation standard: You should have intent/entity table, training plan, question answering plan, multilingual strategy, and backup notes.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8 (LO8) - Azure AI Search, Knowledge Mining, Vector Search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Aligned to: Lab 8 and PPT slides 53-57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Expected lab-aligned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Index design.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Data source and indexer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Skillset design.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Query examples.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Knowledge store projection notes.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Validation standard: You should have index design, data source/indexer plan, skillset plan, query examples, and knowledge store notes.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9 (LO9) - Document Intelligence and Content Understanding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Aligned to: Lab 9 and PPT slides 58-62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Expected lab-aligned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Document scenario map.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Custom model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Content understanding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Human review rules.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Integration flow.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Validation standard: You should have scenario mapping, custom model plan, content understanding plan, review rules, and integration flow.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10 (LO10) - AI-102 Capstone and Course Review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Aligned to: Lab 10 and PPT slides 63-67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Expected lab-aligned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End-to-end service map.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Architecture diagram.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Governance checklist.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Confidence matrix.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Cleanup and 7-day review plan.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Validation standard: You should have a service map, architecture diagram, governance checklist, confidence matrix, cleanup plan, and review plan.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4B5563"/>
        <w:sz w:val="16"/>
      </w:rPr>
      <w:t>(c) 2026 Tertiary Infotech Academy Pte Ltd. All rights reserved.  |  www.tertiarycourses.com.sg</w:t>
    </w:r>
    <w:r>
      <w:rPr>
        <w:rFonts w:ascii="Arial" w:hAnsi="Arial"/>
        <w:b w:val="0"/>
        <w:i w:val="0"/>
        <w:color w:val="4B5563"/>
        <w:sz w:val="16"/>
      </w:rPr>
      <w:t xml:space="preserve">  |  Page </w:t>
    </w:r>
    <w:r>
      <w:rPr>
        <w:rFonts w:ascii="Arial" w:hAnsi="Arial"/>
        <w:b w:val="0"/>
        <w:i w:val="0"/>
        <w:color w:val="4B556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