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</w:p>
    <w:p>
      <w:pPr>
        <w:spacing w:before="0" w:after="200"/>
      </w:pPr>
    </w:p>
    <w:p>
      <w:pPr>
        <w:spacing w:before="0" w:after="60"/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rFonts w:ascii="Arial" w:hAnsi="Arial"/>
          <w:b/>
          <w:i w:val="0"/>
          <w:color w:val="111827"/>
          <w:sz w:val="20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7"/>
        </w:rPr>
        <w:t>UEN: 201200696W</w:t>
      </w:r>
    </w:p>
    <w:p>
      <w:pPr>
        <w:spacing w:before="0" w:after="160"/>
        <w:jc w:val="center"/>
      </w:pPr>
      <w:r>
        <w:rPr>
          <w:rFonts w:ascii="Arial" w:hAnsi="Arial"/>
          <w:b/>
          <w:i w:val="0"/>
          <w:color w:val="1F6FEB"/>
          <w:sz w:val="36"/>
        </w:rPr>
        <w:t>ANSWER TO WRITTEN ASSESSMENT</w:t>
      </w:r>
    </w:p>
    <w:p>
      <w:pPr>
        <w:spacing w:before="0" w:after="120"/>
        <w:jc w:val="center"/>
      </w:pPr>
      <w:r>
        <w:rPr>
          <w:rFonts w:ascii="Arial" w:hAnsi="Arial"/>
          <w:b w:val="0"/>
          <w:i w:val="0"/>
          <w:color w:val="4B5563"/>
          <w:sz w:val="20"/>
        </w:rPr>
        <w:t>For</w:t>
      </w:r>
    </w:p>
    <w:p>
      <w:pPr>
        <w:spacing w:before="0" w:after="240"/>
        <w:jc w:val="center"/>
      </w:pPr>
      <w:r>
        <w:drawing>
          <wp:inline xmlns:a="http://schemas.openxmlformats.org/drawingml/2006/main" xmlns:pic="http://schemas.openxmlformats.org/drawingml/2006/picture">
            <wp:extent cx="822960" cy="8229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102-course-bad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40"/>
        <w:jc w:val="center"/>
      </w:pPr>
      <w:r>
        <w:rPr>
          <w:rFonts w:ascii="Arial" w:hAnsi="Arial"/>
          <w:b/>
          <w:i w:val="0"/>
          <w:color w:val="111827"/>
          <w:sz w:val="32"/>
        </w:rPr>
        <w:t>Microsoft Certified Azure AI Engineer Associate AI-102 Training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111827"/>
          <w:sz w:val="19"/>
        </w:rPr>
        <w:t>TGS Ref No: TGS-2023036651</w:t>
      </w:r>
    </w:p>
    <w:p>
      <w:pPr>
        <w:spacing w:before="0" w:after="0"/>
        <w:jc w:val="center"/>
      </w:pPr>
      <w:r>
        <w:rPr>
          <w:rFonts w:ascii="Arial" w:hAnsi="Arial"/>
          <w:b w:val="0"/>
          <w:i w:val="0"/>
          <w:color w:val="4B5563"/>
          <w:sz w:val="18"/>
        </w:rPr>
        <w:t>Conducted by</w:t>
      </w:r>
    </w:p>
    <w:p>
      <w:pPr>
        <w:spacing w:before="0" w:after="0"/>
        <w:jc w:val="center"/>
      </w:pPr>
      <w:r>
        <w:rPr>
          <w:rFonts w:ascii="Arial" w:hAnsi="Arial"/>
          <w:b/>
          <w:i w:val="0"/>
          <w:color w:val="111827"/>
          <w:sz w:val="20"/>
        </w:rPr>
        <w:t>Tertiary Infotech Academy Pte Ltd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7"/>
        </w:rPr>
        <w:t>UEN: 201200696W</w:t>
      </w:r>
    </w:p>
    <w:p>
      <w:pPr>
        <w:spacing w:before="0" w:after="120"/>
        <w:jc w:val="center"/>
      </w:pPr>
      <w:r>
        <w:rPr>
          <w:rFonts w:ascii="Arial" w:hAnsi="Arial"/>
          <w:b/>
          <w:i w:val="0"/>
          <w:color w:val="1F6FEB"/>
          <w:sz w:val="20"/>
        </w:rPr>
        <w:t>Version v1.0</w:t>
      </w:r>
    </w:p>
    <w:p>
      <w:r>
        <w:br w:type="page"/>
      </w:r>
    </w:p>
    <w:p>
      <w:pPr>
        <w:spacing w:before="0" w:after="40"/>
        <w:jc w:val="center"/>
      </w:pPr>
      <w:r>
        <w:rPr>
          <w:rFonts w:ascii="Arial" w:hAnsi="Arial"/>
          <w:b/>
          <w:i w:val="0"/>
          <w:color w:val="1F6FEB"/>
          <w:sz w:val="28"/>
        </w:rPr>
        <w:t>Answer to Written Assessment (Marking Guide)</w:t>
      </w:r>
    </w:p>
    <w:p>
      <w:pPr>
        <w:spacing w:before="0" w:after="20"/>
        <w:jc w:val="center"/>
      </w:pPr>
      <w:r>
        <w:rPr>
          <w:rFonts w:ascii="Arial" w:hAnsi="Arial"/>
          <w:b/>
          <w:i w:val="0"/>
          <w:color w:val="111827"/>
          <w:sz w:val="22"/>
        </w:rPr>
        <w:t>Microsoft Certified Azure AI Engineer Associate AI-102 Training</w:t>
      </w:r>
    </w:p>
    <w:p>
      <w:pPr>
        <w:spacing w:before="0" w:after="240"/>
        <w:jc w:val="center"/>
      </w:pPr>
      <w:r>
        <w:rPr>
          <w:rFonts w:ascii="Arial" w:hAnsi="Arial"/>
          <w:b w:val="0"/>
          <w:i w:val="0"/>
          <w:color w:val="4B5563"/>
          <w:sz w:val="18"/>
        </w:rPr>
        <w:t>TGS-2023036651 | v1.0</w:t>
      </w:r>
    </w:p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Assessment Alignment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Area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Slides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Labs</w:t>
            </w:r>
          </w:p>
        </w:tc>
        <w:tc>
          <w:tcPr>
            <w:tcW w:type="dxa" w:w="2409"/>
            <w:vAlign w:val="center"/>
            <w:shd w:fill="1F6FEB"/>
          </w:tcPr>
          <w:p>
            <w:r/>
            <w:r>
              <w:rPr>
                <w:rFonts w:ascii="Arial" w:hAnsi="Arial"/>
                <w:b/>
                <w:i w:val="0"/>
                <w:color w:val="FFFFFF"/>
                <w:sz w:val="21"/>
              </w:rPr>
              <w:t>Assessment Coverage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Plan, Manage, Monitor, and Secure an Azure AI Solution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17-21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K1-K4, LO1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Responsible AI, Content Safety, Governance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22-26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K5-K8, LO2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Generative AI, Foundry, Azure OpenAI, Prompt Flow, RAG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27-31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3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K9-K12, LO3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Agentic AI, Foundry Agent Service, Multi-Agent Concepts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32-36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4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K13-K16, LO4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Computer Vision, Custom Vision, Video Insights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37-41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5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K17-K20, LO5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NLP, Language, Speech, Translation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42-46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6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K21-K24, LO6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Custom Language Models and Question Answering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48-52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K25-K28, LO7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Azure AI Search, Knowledge Mining, Vector Search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53-57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8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K29-K32, LO8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Document Intelligence and Content Understanding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58-62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9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K33-K36, LO9</w:t>
            </w:r>
          </w:p>
        </w:tc>
      </w:tr>
      <w:tr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AI-102 Capstone and Course Review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63-67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Lab 10</w:t>
            </w:r>
          </w:p>
        </w:tc>
        <w:tc>
          <w:tcPr>
            <w:tcW w:type="dxa" w:w="2409"/>
            <w:vAlign w:val="center"/>
          </w:tcPr>
          <w:p>
            <w:r/>
            <w:r>
              <w:rPr>
                <w:rFonts w:ascii="Arial" w:hAnsi="Arial"/>
                <w:b w:val="0"/>
                <w:i w:val="0"/>
                <w:color w:val="111827"/>
                <w:sz w:val="17"/>
              </w:rPr>
              <w:t>K37-K40, LO10</w:t>
            </w:r>
          </w:p>
        </w:tc>
      </w:tr>
    </w:tbl>
    <w:p>
      <w:pPr>
        <w:spacing w:before="160" w:after="100"/>
        <w:pBdr>
          <w:bottom w:val="single" w:sz="6" w:space="4" w:color="D9E2F0"/>
        </w:pBdr>
      </w:pPr>
      <w:r>
        <w:rPr>
          <w:rFonts w:ascii="Arial" w:hAnsi="Arial"/>
          <w:b/>
          <w:i w:val="0"/>
          <w:color w:val="1F6FEB"/>
          <w:sz w:val="24"/>
        </w:rPr>
        <w:t>Model Answers</w:t>
      </w:r>
    </w:p>
    <w:p>
      <w:pPr>
        <w:spacing w:before="0" w:after="120"/>
      </w:pPr>
      <w:r>
        <w:rPr>
          <w:rFonts w:ascii="Arial" w:hAnsi="Arial"/>
          <w:b w:val="0"/>
          <w:i/>
          <w:color w:val="4B5563"/>
          <w:sz w:val="22"/>
        </w:rPr>
        <w:t>Suggestive answers are not exhaustive. Award credit where the candidate demonstrates the same concept accurately.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 (K1) - PPT slides 17-21; Lab 1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is service selection part of AI engineering?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 engineer maps business requirements to the right Azure AI services, deployment model, integrations, constraints, cost, security and operational controls so the solution is feasible and maintainable.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 (K2) - PPT slides 17-21; Lab 1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should keys be protected?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Keys grant access to Azure AI resources. They must be stored securely, rotated, and replaced with managed identity or least-privilege access where possible.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 (K3) - PPT slides 17-21; Lab 1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should be monitored in an AI service?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Monitor usage, latency, errors, token or transaction consumption, cost, model/output quality signals, safety events, authentication failures and availability.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4 (K4) - PPT slides 17-21; Lab 1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the role of responsible AI planning?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It identifies risks early and defines fairness, safety, privacy, transparency, accountability, escalation and monitoring controls before production deployment.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5 (K5) - PPT slides 22-26; Lab 2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are content filters?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Controls that detect or block harmful categories of input or output, such as violence, hate, sexual content, self-harm, jailbreak attempts or unsafe generated responses.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6 (K6) - PPT slides 22-26; Lab 2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 prompt shield?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control that helps detect and mitigate prompt injection, jailbreak and indirect prompt attacks that try to override system instructions or expose data.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7 (K7) - PPT slides 22-26; Lab 2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is human escalation important?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It provides accountability and review for uncertain, harmful, high-impact or low-confidence cases where automated output should not be final.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8 (K8) - PPT slides 22-26; Lab 2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Who is accountable for AI output?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 organization deploying the system remains accountable through its product owner, governance process and assigned responsible personnel.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9 (K9) - PPT slides 27-31; Lab 3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RAG?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Retrieval-augmented generation combines search or retrieval from trusted sources with a generative model so answers are grounded in approved content.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10 (K10) - PPT slides 27-31; Lab 3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are prompt templates useful?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They standardize instructions, input variables, constraints, tone and output format so model behavior is more repeatable and easier to evaluate.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11 (K11) - PPT slides 27-31; Lab 3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does tracing help debug?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Tracing helps inspect prompt flow execution, retrieved context, tool calls, intermediate outputs, failures, latency and data passed between steps.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12 (K12) - PPT slides 27-31; Lab 3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How can feedback improve a generative AI solution?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Feedback supplies examples for evaluation, prompt improvement, grounding refinements, safety tuning and prioritizing recurring failure cases.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13 (K13) - PPT slides 32-36; Lab 4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an AI agent?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An AI system that can reason over a task, use tools or knowledge sources, follow instructions and take controlled actions toward a goal.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14 (K14) - PPT slides 32-36; Lab 4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do agents need tool permissions?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Permissions limit what an agent can access or change, enforcing least privilege and reducing the impact of erroneous or malicious actions.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15 (K15) - PPT slides 32-36; Lab 4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orchestration?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 coordination of model reasoning, tools, workflows, memory, retrieval, handoffs and sometimes multiple agents to complete a task safely.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16 (K16) - PPT slides 32-36; Lab 4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should autonomous actions be constrained?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Constraints prevent uncontrolled decisions, accidental changes, privacy leaks, cost spikes, unsafe actions and actions without human approval.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17 (K17) - PPT slides 37-41; Lab 5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OCR?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Optical character recognition extracts machine-readable text from images, screenshots, scanned forms or documents.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18 (K18) - PPT slides 37-41; Lab 5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How is object detection different from classification?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Classification assigns labels to an image, while object detection identifies objects and their locations, often with bounding boxes.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19 (K19) - PPT slides 37-41; Lab 5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does a custom vision model require?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defined task, representative labeled images, training and validation data, a selected model type, evaluation metrics and ongoing review for drift and bias.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20 (K20) - PPT slides 37-41; Lab 5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is video analysis sensitive?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Video may include faces, voices, locations, behavior or personal data, so privacy, consent, retention, security and bias controls are required.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21 (K21) - PPT slides 42-46; Lab 6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entity recognition?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language capability that identifies named entities such as people, locations, organizations, dates, quantities and domain-specific terms in text.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22 (K22) - PPT slides 42-46; Lab 6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detect PII before storing text?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PII detection supports privacy protection, masking, minimization, compliance and safer downstream analytics or model use.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23 (K23) - PPT slides 42-46; Lab 6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SSML?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Speech Synthesis Markup Language controls text-to-speech output such as voice, pauses, pronunciation, emphasis, rate and pitch.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24 (K24) - PPT slides 42-46; Lab 6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When should translation outputs be reviewed?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Review is needed for regulated, customer-facing, ambiguous, sensitive, legal, medical, safety or high-impact communications.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25 (K25) - PPT slides 48-52; Lab 7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an intent?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 user goal or action expressed in an utterance, such as checking order status or requesting a refund.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26 (K26) - PPT slides 48-52; Lab 7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an entity?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structured value extracted from user language, such as product name, order number, date, location or support category.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27 (K27) - PPT slides 48-52; Lab 7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add alternate phrasing?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Alternate utterances improve recognition of the same intent across varied wording, spelling, tone and language patterns.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28 (K28) - PPT slides 48-52; Lab 7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should language projects be backed up?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Backups protect training data, labels, configuration, versions and recovery plans if a project is corrupted, deleted or changed incorrectly.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29 (K29) - PPT slides 53-57; Lab 8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an indexer?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component in Azure AI Search that reads content from a data source, extracts fields, applies enrichment if configured and populates an index.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30 (K30) - PPT slides 53-57; Lab 8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 skillset?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pipeline of enrichment skills such as OCR, entity recognition, key phrase extraction, translation or custom skills applied during indexing.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31 (K31) - PPT slides 53-57; Lab 8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vector search?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Search that compares embeddings to find semantically similar content, even when the exact keywords differ.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32 (K32) - PPT slides 53-57; Lab 8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use semantic ranking?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Semantic ranking improves relevance by re-ranking results using language understanding rather than relying only on keyword matching.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33 (K33) - PPT slides 58-62; Lab 9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When should you use a prebuilt model?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Use a prebuilt model when the document type is supported and the required fields match common forms such as invoices, receipts, IDs or general documents.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34 (K34) - PPT slides 58-62; Lab 9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a composed model?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 composed Document Intelligence model routes documents to one of several custom models so different form types can be processed through a single endpoint.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35 (K35) - PPT slides 58-62; Lab 9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Why are confidence scores useful?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They help decide whether extraction can be accepted automatically, needs review or should trigger exception handling.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36 (K36) - PPT slides 58-62; Lab 9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content types can Content Understanding process?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It can process multiple modalities such as documents, images, audio, video and text depending on the configured analyzer and scenario.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37 (K37) - PPT slides 63-67; Lab 10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Which service should power grounded document search?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Azure AI Search should power document retrieval and grounding, often combined with Azure OpenAI or Foundry for RAG.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38 (K38) - PPT slides 63-67; Lab 10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When should a human review AI output?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Human review is needed for low-confidence, high-impact, harmful, sensitive, regulated, ambiguous or escalated outputs.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39 (K39) - PPT slides 63-67; Lab 10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What is the difference between RAG and fine-tuning?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RAG retrieves external knowledge at runtime to ground answers; fine-tuning changes model behavior using training examples and does not itself provide current source knowledge.</w:t>
      </w:r>
    </w:p>
    <w:p>
      <w:pPr>
        <w:spacing w:before="160" w:after="40"/>
      </w:pPr>
      <w:r>
        <w:rPr>
          <w:rFonts w:ascii="Arial" w:hAnsi="Arial"/>
          <w:b/>
          <w:i w:val="0"/>
          <w:color w:val="111827"/>
          <w:sz w:val="23"/>
        </w:rPr>
        <w:t>Question 40 (K40) - PPT slides 63-67; Lab 10</w:t>
      </w:r>
    </w:p>
    <w:p>
      <w:pPr>
        <w:spacing w:before="0" w:after="60"/>
      </w:pPr>
      <w:r>
        <w:rPr>
          <w:rFonts w:ascii="Arial" w:hAnsi="Arial"/>
          <w:b/>
          <w:i w:val="0"/>
          <w:color w:val="111827"/>
          <w:sz w:val="21"/>
        </w:rPr>
        <w:t>Which AI workload do you need to review most?</w:t>
      </w:r>
    </w:p>
    <w:p>
      <w:pPr>
        <w:pStyle w:val="ListBullet"/>
        <w:spacing w:after="40"/>
      </w:pPr>
      <w:r>
        <w:rPr>
          <w:rFonts w:ascii="Arial" w:hAnsi="Arial"/>
          <w:b w:val="0"/>
          <w:i w:val="0"/>
          <w:color w:val="111827"/>
          <w:sz w:val="20"/>
        </w:rPr>
        <w:t>The learner should identify their weakest AI-102 workload and justify it using confidence ratings, lab evidence and a practical review plan.</w:t>
      </w: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Arial" w:hAnsi="Arial"/>
        <w:b w:val="0"/>
        <w:i w:val="0"/>
        <w:color w:val="4B5563"/>
        <w:sz w:val="16"/>
      </w:rPr>
      <w:t>(c) 2026 Tertiary Infotech Academy Pte Ltd. All rights reserved.  |  www.tertiarycourses.com.sg</w:t>
    </w:r>
    <w:r>
      <w:rPr>
        <w:rFonts w:ascii="Arial" w:hAnsi="Arial"/>
        <w:b w:val="0"/>
        <w:i w:val="0"/>
        <w:color w:val="4B5563"/>
        <w:sz w:val="16"/>
      </w:rPr>
      <w:t xml:space="preserve">  |  Page </w:t>
    </w:r>
    <w:r>
      <w:rPr>
        <w:rFonts w:ascii="Arial" w:hAnsi="Arial"/>
        <w:b w:val="0"/>
        <w:i w:val="0"/>
        <w:color w:val="4B5563"/>
        <w:sz w:val="16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