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</w:p>
    <w:p>
      <w:pPr>
        <w:spacing w:before="0" w:after="200"/>
      </w:pPr>
    </w:p>
    <w:p>
      <w:pPr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Arial" w:hAnsi="Arial"/>
          <w:b/>
          <w:i w:val="0"/>
          <w:color w:val="111827"/>
          <w:sz w:val="20"/>
        </w:rPr>
        <w:t>Tertiary Infotech Academy Pte Ltd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7"/>
        </w:rPr>
        <w:t>UEN: 201200696W</w:t>
      </w:r>
    </w:p>
    <w:p>
      <w:pPr>
        <w:spacing w:before="0" w:after="160"/>
        <w:jc w:val="center"/>
      </w:pPr>
      <w:r>
        <w:rPr>
          <w:rFonts w:ascii="Arial" w:hAnsi="Arial"/>
          <w:b/>
          <w:i w:val="0"/>
          <w:color w:val="1F6FEB"/>
          <w:sz w:val="36"/>
        </w:rPr>
        <w:t>ANSWER TO WRITTEN ASSESSMENT</w:t>
      </w:r>
    </w:p>
    <w:p>
      <w:pPr>
        <w:spacing w:before="0" w:after="120"/>
        <w:jc w:val="center"/>
      </w:pPr>
      <w:r>
        <w:rPr>
          <w:rFonts w:ascii="Arial" w:hAnsi="Arial"/>
          <w:b w:val="0"/>
          <w:i w:val="0"/>
          <w:color w:val="4B5563"/>
          <w:sz w:val="20"/>
        </w:rPr>
        <w:t>For</w:t>
      </w:r>
    </w:p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102-course-bad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40"/>
        <w:jc w:val="center"/>
      </w:pPr>
      <w:r>
        <w:rPr>
          <w:rFonts w:ascii="Arial" w:hAnsi="Arial"/>
          <w:b/>
          <w:i w:val="0"/>
          <w:color w:val="111827"/>
          <w:sz w:val="32"/>
        </w:rPr>
        <w:t>Microsoft Certified Azure AI Engineer Associate AI-102 Training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111827"/>
          <w:sz w:val="19"/>
        </w:rPr>
        <w:t>TGS Ref No: TGS-2023036651</w:t>
      </w:r>
    </w:p>
    <w:p>
      <w:pPr>
        <w:spacing w:before="0" w:after="0"/>
        <w:jc w:val="center"/>
      </w:pPr>
      <w:r>
        <w:rPr>
          <w:rFonts w:ascii="Arial" w:hAnsi="Arial"/>
          <w:b w:val="0"/>
          <w:i w:val="0"/>
          <w:color w:val="4B5563"/>
          <w:sz w:val="18"/>
        </w:rPr>
        <w:t>Conducted by</w:t>
      </w:r>
    </w:p>
    <w:p>
      <w:pPr>
        <w:spacing w:before="0" w:after="0"/>
        <w:jc w:val="center"/>
      </w:pPr>
      <w:r>
        <w:rPr>
          <w:rFonts w:ascii="Arial" w:hAnsi="Arial"/>
          <w:b/>
          <w:i w:val="0"/>
          <w:color w:val="111827"/>
          <w:sz w:val="20"/>
        </w:rPr>
        <w:t>Tertiary Infotech Academy Pte Ltd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7"/>
        </w:rPr>
        <w:t>UEN: 201200696W</w:t>
      </w:r>
    </w:p>
    <w:p>
      <w:pPr>
        <w:spacing w:before="0" w:after="120"/>
        <w:jc w:val="center"/>
      </w:pPr>
      <w:r>
        <w:rPr>
          <w:rFonts w:ascii="Arial" w:hAnsi="Arial"/>
          <w:b/>
          <w:i w:val="0"/>
          <w:color w:val="1F6FEB"/>
          <w:sz w:val="20"/>
        </w:rPr>
        <w:t>Version v1.0</w:t>
      </w:r>
    </w:p>
    <w:p>
      <w:r>
        <w:br w:type="page"/>
      </w:r>
    </w:p>
    <w:p>
      <w:pPr>
        <w:spacing w:after="360"/>
      </w:pPr>
      <w:r>
        <w:rPr>
          <w:rFonts w:ascii="Arial" w:hAnsi="Arial"/>
          <w:b/>
          <w:i w:val="0"/>
          <w:color w:val="4B5563"/>
          <w:sz w:val="21"/>
        </w:rPr>
        <w:t>ANSWER TO WRITTEN ASSESSMENT</w:t>
      </w:r>
      <w:r>
        <w:rPr>
          <w:rFonts w:ascii="Arial" w:hAnsi="Arial"/>
          <w:b/>
          <w:i w:val="0"/>
          <w:color w:val="111827"/>
          <w:sz w:val="21"/>
        </w:rPr>
        <w:t xml:space="preserve">  |  </w:t>
      </w:r>
      <w:r>
        <w:rPr>
          <w:rFonts w:ascii="Arial" w:hAnsi="Arial"/>
          <w:b w:val="0"/>
          <w:i w:val="0"/>
          <w:color w:val="4B5563"/>
          <w:sz w:val="21"/>
        </w:rPr>
        <w:t>Microsoft Certified Azure AI Engineer Associate AI-102 Training</w:t>
      </w:r>
    </w:p>
    <w:p>
      <w:pPr>
        <w:spacing w:before="0" w:after="16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11827"/>
          <w:sz w:val="32"/>
        </w:rPr>
        <w:t>TABLE OF CONTENTS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Answer to Written Assessment (Marking Guide)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3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Assessment Alignment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3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Model Answers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4</w:t>
      </w:r>
    </w:p>
    <w:p>
      <w:pPr>
        <w:tabs>
          <w:tab w:pos="8928" w:val="right" w:leader="dot"/>
        </w:tabs>
        <w:spacing w:after="100"/>
        <w:ind w:left="312"/>
      </w:pPr>
      <w:r>
        <w:rPr>
          <w:rFonts w:ascii="Arial" w:hAnsi="Arial"/>
          <w:b w:val="0"/>
          <w:i w:val="0"/>
          <w:color w:val="4B5563"/>
          <w:sz w:val="20"/>
        </w:rPr>
        <w:t>Questions 1-10</w:t>
      </w:r>
      <w:r>
        <w:tab/>
      </w:r>
      <w:r>
        <w:rPr>
          <w:rFonts w:ascii="Arial" w:hAnsi="Arial"/>
          <w:b w:val="0"/>
          <w:i w:val="0"/>
          <w:color w:val="111827"/>
          <w:sz w:val="20"/>
        </w:rPr>
        <w:t>4</w:t>
      </w:r>
    </w:p>
    <w:p>
      <w:pPr>
        <w:tabs>
          <w:tab w:pos="8928" w:val="right" w:leader="dot"/>
        </w:tabs>
        <w:spacing w:after="100"/>
        <w:ind w:left="312"/>
      </w:pPr>
      <w:r>
        <w:rPr>
          <w:rFonts w:ascii="Arial" w:hAnsi="Arial"/>
          <w:b w:val="0"/>
          <w:i w:val="0"/>
          <w:color w:val="4B5563"/>
          <w:sz w:val="20"/>
        </w:rPr>
        <w:t>Questions 11-20</w:t>
      </w:r>
      <w:r>
        <w:tab/>
      </w:r>
      <w:r>
        <w:rPr>
          <w:rFonts w:ascii="Arial" w:hAnsi="Arial"/>
          <w:b w:val="0"/>
          <w:i w:val="0"/>
          <w:color w:val="111827"/>
          <w:sz w:val="20"/>
        </w:rPr>
        <w:t>6</w:t>
      </w:r>
    </w:p>
    <w:p>
      <w:pPr>
        <w:tabs>
          <w:tab w:pos="8928" w:val="right" w:leader="dot"/>
        </w:tabs>
        <w:spacing w:after="100"/>
        <w:ind w:left="312"/>
      </w:pPr>
      <w:r>
        <w:rPr>
          <w:rFonts w:ascii="Arial" w:hAnsi="Arial"/>
          <w:b w:val="0"/>
          <w:i w:val="0"/>
          <w:color w:val="4B5563"/>
          <w:sz w:val="20"/>
        </w:rPr>
        <w:t>Questions 21-30</w:t>
      </w:r>
      <w:r>
        <w:tab/>
      </w:r>
      <w:r>
        <w:rPr>
          <w:rFonts w:ascii="Arial" w:hAnsi="Arial"/>
          <w:b w:val="0"/>
          <w:i w:val="0"/>
          <w:color w:val="111827"/>
          <w:sz w:val="20"/>
        </w:rPr>
        <w:t>8</w:t>
      </w:r>
    </w:p>
    <w:p>
      <w:pPr>
        <w:tabs>
          <w:tab w:pos="8928" w:val="right" w:leader="dot"/>
        </w:tabs>
        <w:spacing w:after="100"/>
        <w:ind w:left="312"/>
      </w:pPr>
      <w:r>
        <w:rPr>
          <w:rFonts w:ascii="Arial" w:hAnsi="Arial"/>
          <w:b w:val="0"/>
          <w:i w:val="0"/>
          <w:color w:val="4B5563"/>
          <w:sz w:val="20"/>
        </w:rPr>
        <w:t>Questions 31-40</w:t>
      </w:r>
      <w:r>
        <w:tab/>
      </w:r>
      <w:r>
        <w:rPr>
          <w:rFonts w:ascii="Arial" w:hAnsi="Arial"/>
          <w:b w:val="0"/>
          <w:i w:val="0"/>
          <w:color w:val="111827"/>
          <w:sz w:val="20"/>
        </w:rPr>
        <w:t>10</w:t>
      </w:r>
    </w:p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i w:val="0"/>
          <w:color w:val="1F6FEB"/>
          <w:sz w:val="28"/>
        </w:rPr>
        <w:t>Answer to Written Assessment (Marking Guide)</w:t>
      </w:r>
    </w:p>
    <w:p>
      <w:pPr>
        <w:spacing w:before="0" w:after="20"/>
        <w:jc w:val="center"/>
      </w:pPr>
      <w:r>
        <w:rPr>
          <w:rFonts w:ascii="Arial" w:hAnsi="Arial"/>
          <w:b/>
          <w:i w:val="0"/>
          <w:color w:val="111827"/>
          <w:sz w:val="22"/>
        </w:rPr>
        <w:t>Microsoft Certified Azure AI Engineer Associate AI-102 Training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8"/>
        </w:rPr>
        <w:t>TGS-2023036651 | v1.0</w:t>
      </w: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Assessment Alignment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Area</w:t>
            </w:r>
          </w:p>
        </w:tc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Slides</w:t>
            </w:r>
          </w:p>
        </w:tc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Labs</w:t>
            </w:r>
          </w:p>
        </w:tc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Assessment Coverage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Plan, Manage, Monitor, and Secure an Azure AI Solution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17-21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K1-K4, LO1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Responsible AI, Content Safety, Governance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22-26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2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K5-K8, LO2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Generative AI, Foundry, Azure OpenAI, Prompt Flow, RAG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27-31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3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K9-K12, LO3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Agentic AI, Foundry Agent Service, Multi-Agent Concepts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32-36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4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K13-K16, LO4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Computer Vision, Custom Vision, Video Insights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37-41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5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K17-K20, LO5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NLP, Language, Speech, Translation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42-46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K21-K24, LO6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Custom Language Models and Question Answering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48-52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7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K25-K28, LO7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Azure AI Search, Knowledge Mining, Vector Search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53-57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8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K29-K32, LO8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Document Intelligence and Content Understanding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58-62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9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K33-K36, LO9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AI-102 Capstone and Course Review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63-67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10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K37-K40, LO10</w:t>
            </w:r>
          </w:p>
        </w:tc>
      </w:tr>
    </w:tbl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Model Answers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2"/>
        </w:rPr>
        <w:t>Suggestive answers are not exhaustive. Award credit where the candidate demonstrates the same concept accurately.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 (K1) - PPT slides 17-21; Lab 1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is service selection part of AI engineering?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The engineer maps business requirements to the right Azure AI services, deployment model, integrations, constraints, cost, security and operational controls so the solution is feasible and maintainable.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 (K2) - PPT slides 17-21; Lab 1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should keys be protected?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Keys grant access to Azure AI resources. They must be stored securely, rotated, and replaced with managed identity or least-privilege access where possible.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 (K3) - PPT slides 17-21; Lab 1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should be monitored in an AI service?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Monitor usage, latency, errors, token or transaction consumption, cost, model/output quality signals, safety events, authentication failures and availability.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4 (K4) - PPT slides 17-21; Lab 1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the role of responsible AI planning?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It identifies risks early and defines fairness, safety, privacy, transparency, accountability, escalation and monitoring controls before production deployment.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5 (K5) - PPT slides 22-26; Lab 2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are content filters?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Controls that detect or block harmful categories of input or output, such as violence, hate, sexual content, self-harm, jailbreak attempts or unsafe generated responses.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6 (K6) - PPT slides 22-26; Lab 2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a prompt shield?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 control that helps detect and mitigate prompt injection, jailbreak and indirect prompt attacks that try to override system instructions or expose data.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7 (K7) - PPT slides 22-26; Lab 2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is human escalation important?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It provides accountability and review for uncertain, harmful, high-impact or low-confidence cases where automated output should not be final.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8 (K8) - PPT slides 22-26; Lab 2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Who is accountable for AI output?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The organization deploying the system remains accountable through its product owner, governance process and assigned responsible personnel.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9 (K9) - PPT slides 27-31; Lab 3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RAG?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Retrieval-augmented generation combines search or retrieval from trusted sources with a generative model so answers are grounded in approved content.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10 (K10) - PPT slides 27-31; Lab 3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are prompt templates useful?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They standardize instructions, input variables, constraints, tone and output format so model behavior is more repeatable and easier to evaluate.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11 (K11) - PPT slides 27-31; Lab 3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does tracing help debug?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Tracing helps inspect prompt flow execution, retrieved context, tool calls, intermediate outputs, failures, latency and data passed between steps.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12 (K12) - PPT slides 27-31; Lab 3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How can feedback improve a generative AI solution?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Feedback supplies examples for evaluation, prompt improvement, grounding refinements, safety tuning and prioritizing recurring failure cases.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13 (K13) - PPT slides 32-36; Lab 4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an AI agent?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An AI system that can reason over a task, use tools or knowledge sources, follow instructions and take controlled actions toward a goal.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14 (K14) - PPT slides 32-36; Lab 4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do agents need tool permissions?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Permissions limit what an agent can access or change, enforcing least privilege and reducing the impact of erroneous or malicious actions.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15 (K15) - PPT slides 32-36; Lab 4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orchestration?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The coordination of model reasoning, tools, workflows, memory, retrieval, handoffs and sometimes multiple agents to complete a task safely.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16 (K16) - PPT slides 32-36; Lab 4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should autonomous actions be constrained?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Constraints prevent uncontrolled decisions, accidental changes, privacy leaks, cost spikes, unsafe actions and actions without human approval.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17 (K17) - PPT slides 37-41; Lab 5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OCR?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Optical character recognition extracts machine-readable text from images, screenshots, scanned forms or documents.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18 (K18) - PPT slides 37-41; Lab 5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How is object detection different from classification?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Classification assigns labels to an image, while object detection identifies objects and their locations, often with bounding boxes.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19 (K19) - PPT slides 37-41; Lab 5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does a custom vision model require?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 defined task, representative labeled images, training and validation data, a selected model type, evaluation metrics and ongoing review for drift and bias.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20 (K20) - PPT slides 37-41; Lab 5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is video analysis sensitive?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Video may include faces, voices, locations, behavior or personal data, so privacy, consent, retention, security and bias controls are required.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21 (K21) - PPT slides 42-46; Lab 6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entity recognition?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 language capability that identifies named entities such as people, locations, organizations, dates, quantities and domain-specific terms in text.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22 (K22) - PPT slides 42-46; Lab 6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detect PII before storing text?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PII detection supports privacy protection, masking, minimization, compliance and safer downstream analytics or model use.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23 (K23) - PPT slides 42-46; Lab 6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SSML?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Speech Synthesis Markup Language controls text-to-speech output such as voice, pauses, pronunciation, emphasis, rate and pitch.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24 (K24) - PPT slides 42-46; Lab 6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When should translation outputs be reviewed?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Review is needed for regulated, customer-facing, ambiguous, sensitive, legal, medical, safety or high-impact communications.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25 (K25) - PPT slides 48-52; Lab 7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an intent?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The user goal or action expressed in an utterance, such as checking order status or requesting a refund.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26 (K26) - PPT slides 48-52; Lab 7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an entity?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 structured value extracted from user language, such as product name, order number, date, location or support category.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27 (K27) - PPT slides 48-52; Lab 7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add alternate phrasing?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Alternate utterances improve recognition of the same intent across varied wording, spelling, tone and language patterns.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28 (K28) - PPT slides 48-52; Lab 7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should language projects be backed up?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Backups protect training data, labels, configuration, versions and recovery plans if a project is corrupted, deleted or changed incorrectly.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29 (K29) - PPT slides 53-57; Lab 8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an indexer?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 component in Azure AI Search that reads content from a data source, extracts fields, applies enrichment if configured and populates an index.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30 (K30) - PPT slides 53-57; Lab 8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a skillset?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 pipeline of enrichment skills such as OCR, entity recognition, key phrase extraction, translation or custom skills applied during indexing.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31 (K31) - PPT slides 53-57; Lab 8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vector search?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Search that compares embeddings to find semantically similar content, even when the exact keywords differ.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32 (K32) - PPT slides 53-57; Lab 8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use semantic ranking?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Semantic ranking improves relevance by re-ranking results using language understanding rather than relying only on keyword matching.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33 (K33) - PPT slides 58-62; Lab 9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When should you use a prebuilt model?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Use a prebuilt model when the document type is supported and the required fields match common forms such as invoices, receipts, IDs or general documents.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34 (K34) - PPT slides 58-62; Lab 9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a composed model?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 composed Document Intelligence model routes documents to one of several custom models so different form types can be processed through a single endpoint.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35 (K35) - PPT slides 58-62; Lab 9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are confidence scores useful?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They help decide whether extraction can be accepted automatically, needs review or should trigger exception handling.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36 (K36) - PPT slides 58-62; Lab 9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content types can Content Understanding process?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It can process multiple modalities such as documents, images, audio, video and text depending on the configured analyzer and scenario.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37 (K37) - PPT slides 63-67; Lab 10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Which service should power grounded document search?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Azure AI Search should power document retrieval and grounding, often combined with Azure OpenAI or Foundry for RAG.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38 (K38) - PPT slides 63-67; Lab 10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When should a human review AI output?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Human review is needed for low-confidence, high-impact, harmful, sensitive, regulated, ambiguous or escalated outputs.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39 (K39) - PPT slides 63-67; Lab 10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the difference between RAG and fine-tuning?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RAG retrieves external knowledge at runtime to ground answers; fine-tuning changes model behavior using training examples and does not itself provide current source knowledge.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40 (K40) - PPT slides 63-67; Lab 10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Which AI workload do you need to review most?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The learner should identify their weakest AI-102 workload and justify it using confidence ratings, lab evidence and a practical review plan.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b w:val="0"/>
        <w:i w:val="0"/>
        <w:color w:val="4B5563"/>
        <w:sz w:val="16"/>
      </w:rPr>
      <w:t>(c) 2026 Tertiary Infotech Academy Pte Ltd. All rights reserved.  |  www.tertiarycourses.com.sg</w:t>
    </w:r>
    <w:r>
      <w:rPr>
        <w:rFonts w:ascii="Arial" w:hAnsi="Arial"/>
        <w:b w:val="0"/>
        <w:i w:val="0"/>
        <w:color w:val="4B5563"/>
        <w:sz w:val="16"/>
      </w:rPr>
      <w:t xml:space="preserve">  |  Page </w:t>
    </w:r>
    <w:r>
      <w:rPr>
        <w:rFonts w:ascii="Arial" w:hAnsi="Arial"/>
        <w:b w:val="0"/>
        <w:i w:val="0"/>
        <w:color w:val="4B5563"/>
        <w:sz w:val="16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