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</w:p>
    <w:p>
      <w:pPr>
        <w:spacing w:before="0" w:after="200"/>
      </w:pP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111827"/>
          <w:sz w:val="20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7"/>
        </w:rPr>
        <w:t>UEN: 201200696W</w:t>
      </w:r>
    </w:p>
    <w:p>
      <w:pPr>
        <w:spacing w:before="0" w:after="160"/>
        <w:jc w:val="center"/>
      </w:pPr>
      <w:r>
        <w:rPr>
          <w:rFonts w:ascii="Arial" w:hAnsi="Arial"/>
          <w:b/>
          <w:i w:val="0"/>
          <w:color w:val="1F6FEB"/>
          <w:sz w:val="36"/>
        </w:rPr>
        <w:t>ANSWER TO WRITTEN ASSESSMENT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4B5563"/>
          <w:sz w:val="20"/>
        </w:rPr>
        <w:t>For</w:t>
      </w:r>
    </w:p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102-course-ba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rial" w:hAnsi="Arial"/>
          <w:b/>
          <w:i w:val="0"/>
          <w:color w:val="111827"/>
          <w:sz w:val="32"/>
        </w:rPr>
        <w:t>Microsoft Certified Azure AI Engineer Associate AI-102 Training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111827"/>
          <w:sz w:val="19"/>
        </w:rPr>
        <w:t>TGS Ref No: TGS-2023036651</w:t>
      </w:r>
    </w:p>
    <w:p>
      <w:pPr>
        <w:spacing w:before="0" w:after="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>Conducted by</w:t>
      </w: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111827"/>
          <w:sz w:val="20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7"/>
        </w:rPr>
        <w:t>UEN: 201200696W</w:t>
      </w:r>
    </w:p>
    <w:p>
      <w:pPr>
        <w:spacing w:before="0" w:after="120"/>
        <w:jc w:val="center"/>
      </w:pPr>
      <w:r>
        <w:rPr>
          <w:rFonts w:ascii="Arial" w:hAnsi="Arial"/>
          <w:b/>
          <w:i w:val="0"/>
          <w:color w:val="1F6FEB"/>
          <w:sz w:val="20"/>
        </w:rPr>
        <w:t>Version v1.0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F6FEB"/>
          <w:sz w:val="28"/>
        </w:rPr>
        <w:t>Answer to Written Assessment (Marking Guide)</w:t>
      </w:r>
    </w:p>
    <w:p>
      <w:pPr>
        <w:spacing w:before="0" w:after="20"/>
        <w:jc w:val="center"/>
      </w:pPr>
      <w:r>
        <w:rPr>
          <w:rFonts w:ascii="Arial" w:hAnsi="Arial"/>
          <w:b/>
          <w:i w:val="0"/>
          <w:color w:val="111827"/>
          <w:sz w:val="22"/>
        </w:rPr>
        <w:t>Microsoft Certified Azure AI Engineer Associate AI-102 Training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>TGS-2023036651 | v1.0</w:t>
      </w: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Assessment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F6FEB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1"/>
              </w:rPr>
              <w:t>Area</w:t>
            </w:r>
          </w:p>
        </w:tc>
        <w:tc>
          <w:tcPr>
            <w:tcW w:type="dxa" w:w="2409"/>
            <w:vAlign w:val="center"/>
            <w:shd w:fill="1F6FEB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1"/>
              </w:rPr>
              <w:t>Slides</w:t>
            </w:r>
          </w:p>
        </w:tc>
        <w:tc>
          <w:tcPr>
            <w:tcW w:type="dxa" w:w="2409"/>
            <w:vAlign w:val="center"/>
            <w:shd w:fill="1F6FEB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1"/>
              </w:rPr>
              <w:t>Labs</w:t>
            </w:r>
          </w:p>
        </w:tc>
        <w:tc>
          <w:tcPr>
            <w:tcW w:type="dxa" w:w="2409"/>
            <w:vAlign w:val="center"/>
            <w:shd w:fill="1F6FEB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1"/>
              </w:rPr>
              <w:t>Assessment Coverage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Plan, Manage, Monitor, and Secure an Azure AI Solution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17-21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K1-K4, LO1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Responsible AI, Content Safety, Governance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22-26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2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K5-K8, LO2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Generative AI, Foundry, Azure OpenAI, Prompt Flow, RAG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27-31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3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K9-K12, LO3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Agentic AI, Foundry Agent Service, Multi-Agent Concepts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32-36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4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K13-K16, LO4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Computer Vision, Custom Vision, Video Insights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37-41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5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K17-K20, LO5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NLP, Language, Speech, Translation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42-46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K21-K24, LO6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Custom Language Models and Question Answering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48-52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7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K25-K28, LO7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Azure AI Search, Knowledge Mining, Vector Search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53-57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8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K29-K32, LO8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Document Intelligence and Content Understanding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58-62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9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K33-K36, LO9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AI-102 Capstone and Course Review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63-67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10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K37-K40, LO10</w:t>
            </w:r>
          </w:p>
        </w:tc>
      </w:tr>
    </w:tbl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Model Answers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2"/>
        </w:rPr>
        <w:t>Suggestive answers are not exhaustive. Award credit where the candidate demonstrates the same concept accurately.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1 (K1) - PPT slides 17-21 and 22-26; Labs 1-2</w:t>
      </w:r>
    </w:p>
    <w:p>
      <w:pPr>
        <w:spacing w:before="0" w:after="60"/>
      </w:pPr>
      <w:r>
        <w:rPr>
          <w:rFonts w:ascii="Arial" w:hAnsi="Arial"/>
          <w:b/>
          <w:i w:val="0"/>
          <w:color w:val="111827"/>
          <w:sz w:val="21"/>
        </w:rPr>
        <w:t>Explain how you would select and manage the Azure AI resources, secure access, monitor usage and cost, and apply responsible AI, content safety and governance controls.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Map business, data, integration, region, performance and cost requirements to the appropriate Azure AI services and deployment model.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Protect keys, prefer managed identity and least privilege, separate environments, rotate secrets and secure network access.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Monitor availability, latency, failures, consumption, cost, quality and safety signals with alerts and operational ownership.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Apply risk assessment, content filters, prompt shields, privacy controls, human escalation, incident response and accountable governance.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2 (K2) - PPT slides 27-31 and 32-36; Labs 3-4</w:t>
      </w:r>
    </w:p>
    <w:p>
      <w:pPr>
        <w:spacing w:before="0" w:after="60"/>
      </w:pPr>
      <w:r>
        <w:rPr>
          <w:rFonts w:ascii="Arial" w:hAnsi="Arial"/>
          <w:b/>
          <w:i w:val="0"/>
          <w:color w:val="111827"/>
          <w:sz w:val="21"/>
        </w:rPr>
        <w:t>Describe a grounded generative AI and agent solution, including RAG, prompt templates and evaluation, agent tools and permissions, orchestration, tracing, and human control of autonomous actions.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RAG to retrieve approved content, pass relevant context to the model and return grounded answers with traceable sources.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prompt templates and prompt flow to standardize instructions, inputs, constraints and outputs, then evaluate quality, groundedness and safety.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Give agents only approved tools and least-privilege permissions; orchestrate tool calls, memory, retrieval and any agent handoffs.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Trace prompts, retrieval and tool actions, constrain high-impact actions, and require human approval or escalation where appropriate.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3 (K3) - PPT slides 37-41 and 42-46; Labs 5-6</w:t>
      </w:r>
    </w:p>
    <w:p>
      <w:pPr>
        <w:spacing w:before="0" w:after="60"/>
      </w:pPr>
      <w:r>
        <w:rPr>
          <w:rFonts w:ascii="Arial" w:hAnsi="Arial"/>
          <w:b/>
          <w:i w:val="0"/>
          <w:color w:val="111827"/>
          <w:sz w:val="21"/>
        </w:rPr>
        <w:t>Explain how Azure vision, language, speech and translation capabilities could support this workflow, including when custom models, PII protection and human review are required.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image analysis, OCR, classification or object detection according to the visual requirement; train a custom vision model when prebuilt capabilities do not meet the domain need.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Treat video and image data as sensitive and apply consent, retention, privacy, bias and access controls.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language analysis for entities, sentiment, key phrases and PII detection before storing or sharing text.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speech recognition, SSML-based synthesis and translation, with human review for sensitive, regulated, ambiguous or customer-facing outputs.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4 (K4) - PPT slides 48-52 and 53-57; Labs 7-8</w:t>
      </w:r>
    </w:p>
    <w:p>
      <w:pPr>
        <w:spacing w:before="0" w:after="60"/>
      </w:pPr>
      <w:r>
        <w:rPr>
          <w:rFonts w:ascii="Arial" w:hAnsi="Arial"/>
          <w:b/>
          <w:i w:val="0"/>
          <w:color w:val="111827"/>
          <w:sz w:val="21"/>
        </w:rPr>
        <w:t>Design the language understanding, question answering and Azure AI Search components, covering intents, entities, training data, indexers, skillsets, vector search, semantic ranking, and backup or recovery.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Define representative intents, entities and varied utterances; train, test and improve the language project across expected wording and languages.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custom question answering for curated answers and preserve project exports, labels, configuration and versions for recovery.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Create a search index and data source, use an indexer to ingest content, and apply a skillset for OCR or other enrichment where required.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vector search for semantic similarity and semantic ranking to improve relevance, then validate queries, security trimming and result quality.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5 (K5) - PPT slides 58-62 and 63-67; Labs 9-10</w:t>
      </w:r>
    </w:p>
    <w:p>
      <w:pPr>
        <w:spacing w:before="0" w:after="60"/>
      </w:pPr>
      <w:r>
        <w:rPr>
          <w:rFonts w:ascii="Arial" w:hAnsi="Arial"/>
          <w:b/>
          <w:i w:val="0"/>
          <w:color w:val="111827"/>
          <w:sz w:val="21"/>
        </w:rPr>
        <w:t>Explain how you would choose and validate Document Intelligence or Content Understanding models, integrate extracted content with search and generative AI, and operate the complete solution responsibly.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a prebuilt model for supported common forms, a custom model for domain-specific fields, and a composed model when multiple document types require routing.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confidence scores and validation rules to accept results, trigger exceptions or route low-confidence and high-impact cases to human review.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Use Content Understanding when the scenario spans documents, images, audio, video or text, and feed approved output into Azure AI Search and a grounded generative workflow.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Document the service architecture, security, monitoring, cost, governance and cleanup plan; use RAG for current external knowledge and fine-tuning only when model behavior needs adaptation.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4B5563"/>
        <w:sz w:val="16"/>
      </w:rPr>
      <w:t>(c) 2026 Tertiary Infotech Academy Pte Ltd. All rights reserved.  |  www.tertiarycourses.com.sg</w:t>
    </w:r>
    <w:r>
      <w:rPr>
        <w:rFonts w:ascii="Arial" w:hAnsi="Arial"/>
        <w:b w:val="0"/>
        <w:i w:val="0"/>
        <w:color w:val="4B5563"/>
        <w:sz w:val="16"/>
      </w:rPr>
      <w:t xml:space="preserve">  |  Page </w:t>
    </w:r>
    <w:r>
      <w:rPr>
        <w:rFonts w:ascii="Arial" w:hAnsi="Arial"/>
        <w:b w:val="0"/>
        <w:i w:val="0"/>
        <w:color w:val="4B556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