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48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20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4"/>
        </w:rPr>
        <w:t>For</w:t>
      </w:r>
    </w:p>
    <w:p>
      <w:pPr>
        <w:spacing w:after="200"/>
        <w:jc w:val="center"/>
      </w:pPr>
      <w:r>
        <w:rPr>
          <w:rFonts w:ascii="Arial" w:hAnsi="Arial"/>
          <w:b/>
          <w:color w:val="161B26"/>
          <w:sz w:val="40"/>
        </w:rPr>
        <w:t>Microsoft Certified Azure AI Engineer Associate AI-102 Training</w:t>
      </w:r>
    </w:p>
    <w:p>
      <w:pPr>
        <w:spacing w:after="360"/>
        <w:jc w:val="center"/>
      </w:pPr>
      <w:r>
        <w:rPr>
          <w:rFonts w:ascii="Arial" w:hAnsi="Arial"/>
          <w:b w:val="0"/>
          <w:color w:val="161B26"/>
          <w:sz w:val="24"/>
        </w:rPr>
        <w:t>TGS Ref No: TGS-2023036651</w:t>
      </w:r>
    </w:p>
    <w:p>
      <w:pPr>
        <w:spacing w:after="0"/>
        <w:jc w:val="center"/>
      </w:pPr>
      <w:r>
        <w:rPr>
          <w:rFonts w:ascii="Arial" w:hAnsi="Arial"/>
          <w:b w:val="0"/>
          <w:color w:val="5B6372"/>
          <w:sz w:val="24"/>
        </w:rPr>
        <w:t>Conducted by</w:t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F6FEB"/>
          <w:sz w:val="24"/>
        </w:rPr>
        <w:t>Version 2.0</w:t>
      </w:r>
    </w:p>
    <w:p>
      <w:r>
        <w:br w:type="page"/>
      </w:r>
    </w:p>
    <w:p>
      <w:r>
        <w:rPr>
          <w:rFonts w:ascii="Arial" w:hAnsi="Arial"/>
          <w:b/>
          <w:color w:val="161B26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1.0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13 Jul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Initial 10-lab AI-102 courseware release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26 Aug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Updated to v2.0 deck slide map, final AI-102 blueprint terminology, AI-103 transition, 10 mechanism-led labs, and approved 60+60 minute assessments.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6FEB"/>
          <w:sz w:val="32"/>
        </w:rPr>
        <w:t>TABLE OF CONTENTS</w:t>
      </w:r>
    </w:p>
    <w:p>
      <w:fldChar w:fldCharType="begin"/>
      <w:instrText xml:space="preserve"> TOC \o "1-3" \h \z \u </w:instrText>
      <w:fldChar w:fldCharType="separate"/>
      <w:fldChar w:fldCharType="end"/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01  Course Overview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02  Learning Outcomes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03  Daily Schedule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04  Topic-by-Topic Breakdown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05  Resources Required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06  Assessment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two-day instructor-led WSQ course that develops the ability to analyse, evaluate, and improve Azure AI solutions through Microsoft Foundry services, governed engineering decisions, and observable evidence.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Analyse algorithms in Microsoft Azure AI applications and establish their correlation with efficiency.</w:t>
      </w:r>
    </w:p>
    <w:p>
      <w:pPr>
        <w:pStyle w:val="ListBullet"/>
      </w:pPr>
      <w:r>
        <w:t>LO2: Identify and evaluate strengths and limitations of Microsoft Azure AI applications.</w:t>
      </w:r>
    </w:p>
    <w:p>
      <w:pPr>
        <w:pStyle w:val="ListBullet"/>
      </w:pPr>
      <w:r>
        <w:t>LO3: Assess feasibility and improvements when applying Azure AI to product and maintenance processes.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967"/>
            <w:shd w:fill="1F6FEB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Slides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09:00–09:40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40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Administration, outcomes, assessment 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Facilitated 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1–15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09:40–10:45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01: Plan, Manage, Monitor, and Secure an Azure AI Solution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17–26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11:00–12:05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02: Responsible AI, Content Safety, Governance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27–37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12:05–13:00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03: Generative AI, Foundry, Azure OpenAI, Prompt Flow, RAG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38–47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14:00–15:05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04: Agentic AI, Foundry Agent Service, Multi-Agent Concepts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48–57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15:05–16:10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05: Computer Vision, Custom Vision, Video Insights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58–67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16:25–17:35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55–70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06: NLP, Language, Speech, Translation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68–77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10:45–11:00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Morning 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13:00–14:00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Lunch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16:10–16:25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Afternoon 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1 · 17:35–18:00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25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Evidence review and recap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Discussion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17–77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09:00–09:15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Digital attendance and recap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Review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 78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09:15–10:20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07: Custom Language Models and Question Answering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79–88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10:35–11:45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08: Azure AI Search, Knowledge Mining, Vector Search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89–98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11:45–13:00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09: Document Intelligence and Content Understanding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99–109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14:00–15:15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65–75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Topic/Lab 10: AI-102 Capstone and Course Review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Mechanism + evidence lab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110–120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10:20–10:35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15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Morning 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13:00–14:00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60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Lunch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Break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—</w:t>
            </w:r>
          </w:p>
        </w:tc>
      </w:tr>
      <w:tr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15:15–15:45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30 min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Assessment briefing and preparation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Briefing</w:t>
            </w:r>
          </w:p>
        </w:tc>
        <w:tc>
          <w:tcPr>
            <w:tcW w:type="dxa" w:w="196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11–13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Day 2 · 16:00–18:00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120 min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WA-SAQ (60 min) + PP (60 min)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Open-book assessment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6"/>
              </w:rPr>
              <w:t>Slides 123–125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01 - Plan, secure, and operate Foundry services · Slides 17–26</w:t>
      </w:r>
    </w:p>
    <w:p>
      <w:pPr>
        <w:pStyle w:val="Heading3"/>
      </w:pPr>
      <w:r>
        <w:t>Lab 01 - Plan, Manage, Monitor, and Secure an Azure AI Solution · Slide 25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02 - Responsible AI, content safety, and governance · Slides 27–37</w:t>
      </w:r>
    </w:p>
    <w:p>
      <w:pPr>
        <w:pStyle w:val="Heading3"/>
      </w:pPr>
      <w:r>
        <w:t>Lab 02 - Responsible AI, Content Safety, Governance · Slide 36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03 - Generative AI, prompt flow, and grounded RAG · Slides 38–47</w:t>
      </w:r>
    </w:p>
    <w:p>
      <w:pPr>
        <w:pStyle w:val="Heading3"/>
      </w:pPr>
      <w:r>
        <w:t>Lab 03 - Generative AI, Foundry, Azure OpenAI, Prompt Flow, RAG · Slide 46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04 - Agents, tools, memory, and multi-agent control · Slides 48–57</w:t>
      </w:r>
    </w:p>
    <w:p>
      <w:pPr>
        <w:pStyle w:val="Heading3"/>
      </w:pPr>
      <w:r>
        <w:t>Lab 04 - Agentic AI, Foundry Agent Service, Multi-Agent Concepts · Slide 56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05 - Computer vision, custom models, and video · Slides 58–67</w:t>
      </w:r>
    </w:p>
    <w:p>
      <w:pPr>
        <w:pStyle w:val="Heading3"/>
      </w:pPr>
      <w:r>
        <w:t>Lab 05 - Computer Vision, Custom Vision, Video Insights · Slide 66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06 - Language, speech, translation, and SSML · Slides 68–77</w:t>
      </w:r>
    </w:p>
    <w:p>
      <w:pPr>
        <w:pStyle w:val="Heading3"/>
      </w:pPr>
      <w:r>
        <w:t>Lab 06 - NLP, Language, Speech, Translation · Slide 76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07 - Custom language understanding and question answering · Slides 79–88</w:t>
      </w:r>
    </w:p>
    <w:p>
      <w:pPr>
        <w:pStyle w:val="Heading3"/>
      </w:pPr>
      <w:r>
        <w:t>Lab 07 - Custom Language Models and Question Answering · Slide 87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08 - Azure AI Search, vector retrieval, and knowledge mining · Slides 89–98</w:t>
      </w:r>
    </w:p>
    <w:p>
      <w:pPr>
        <w:pStyle w:val="Heading3"/>
      </w:pPr>
      <w:r>
        <w:t>Lab 08 - Azure AI Search, Knowledge Mining, Vector Search · Slide 97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09 - Document Intelligence and Content Understanding · Slides 99–109</w:t>
      </w:r>
    </w:p>
    <w:p>
      <w:pPr>
        <w:pStyle w:val="Heading3"/>
      </w:pPr>
      <w:r>
        <w:t>Lab 09 - Document Intelligence and Content Understanding · Slide 108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2"/>
      </w:pPr>
      <w:r>
        <w:t>Topic 10 - Capstone: production AI solution decision record · Slides 110–120</w:t>
      </w:r>
    </w:p>
    <w:p>
      <w:pPr>
        <w:pStyle w:val="Heading3"/>
      </w:pPr>
      <w:r>
        <w:t>Lab 10 - AI-102 Capstone and Course Review · Slide 119</w:t>
      </w:r>
    </w:p>
    <w:p>
      <w:r>
        <w:t>Coverage: architecture and boundaries; runtime mechanism; exact fields/endpoints; implementation excerpt; editable metric; decision rule; failure/control; activity bridge; acceptance evidence.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PPTX and learner PDF</w:t>
      </w:r>
    </w:p>
    <w:p>
      <w:pPr>
        <w:pStyle w:val="ListBullet"/>
      </w:pPr>
      <w:r>
        <w:t>Learner Guide</w:t>
      </w:r>
    </w:p>
    <w:p>
      <w:pPr>
        <w:pStyle w:val="ListBullet"/>
      </w:pPr>
      <w:r>
        <w:t>Azure subscription or trainer-provided lab environment</w:t>
      </w:r>
    </w:p>
    <w:p>
      <w:pPr>
        <w:pStyle w:val="ListBullet"/>
      </w:pPr>
      <w:r>
        <w:t>Modern browser, Azure CLI, Python 3, and Visual Studio Code as required</w:t>
      </w:r>
    </w:p>
    <w:p>
      <w:pPr>
        <w:pStyle w:val="ListBullet"/>
      </w:pPr>
      <w:r>
        <w:t>LMS/TMS access for courseware and assessment</w:t>
      </w:r>
    </w:p>
    <w:p>
      <w:pPr>
        <w:pStyle w:val="Heading1"/>
      </w:pPr>
      <w:r>
        <w:t>Assessment</w:t>
      </w:r>
    </w:p>
    <w:p>
      <w:r>
        <w:t>Approved instruments: Written Assessment - Short-Answer Questions (WA-SAQ), 60 minutes, K1–K6; Practical Performance (PP), 60 minutes, A1–A6. Both are individual and open book. Complete assessment digital attendance before starting and submit candidate papers on the LMS.</w:t>
      </w:r>
    </w:p>
    <w:sectPr w:rsidR="00FC693F" w:rsidRPr="0006063C" w:rsidSect="00034616">
      <w:footerReference w:type="default" r:id="rId10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372"/>
        <w:sz w:val="16"/>
      </w:rPr>
      <w:t xml:space="preserve">© 2026 Tertiary Infotech Academy Pte Ltd · Page </w:t>
    </w:r>
    <w:fldSimple w:instr="PAGE">
      <w:r>
        <w:t>1</w:t>
      </w:r>
    </w:fldSimple>
    <w:r>
      <w:rPr>
        <w:rFonts w:ascii="Arial" w:hAnsi="Arial"/>
        <w:b w:val="0"/>
        <w:color w:val="5B6372"/>
        <w:sz w:val="16"/>
      </w:rP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8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