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after="480"/>
        <w:jc w:val="center"/>
      </w:pPr>
      <w:r>
        <w:rPr>
          <w:rFonts w:ascii="Arial" w:hAnsi="Arial"/>
          <w:b w:val="0"/>
          <w:color w:val="5B6372"/>
          <w:sz w:val="20"/>
        </w:rPr>
        <w:t>UEN: 201200696W</w:t>
      </w:r>
    </w:p>
    <w:p>
      <w:pPr>
        <w:spacing w:after="200"/>
        <w:jc w:val="center"/>
      </w:pPr>
      <w:r>
        <w:rPr>
          <w:rFonts w:ascii="Arial" w:hAnsi="Arial"/>
          <w:b/>
          <w:color w:val="1F6FEB"/>
          <w:sz w:val="52"/>
        </w:rPr>
        <w:t>LESSON PLAN</w:t>
      </w:r>
    </w:p>
    <w:p>
      <w:pPr>
        <w:spacing w:after="160"/>
        <w:jc w:val="center"/>
      </w:pPr>
      <w:r>
        <w:rPr>
          <w:rFonts w:ascii="Arial" w:hAnsi="Arial"/>
          <w:b w:val="0"/>
          <w:color w:val="5B6372"/>
          <w:sz w:val="24"/>
        </w:rPr>
        <w:t>For</w:t>
      </w:r>
    </w:p>
    <w:p>
      <w:pPr>
        <w:spacing w:after="200"/>
        <w:jc w:val="center"/>
      </w:pPr>
      <w:r>
        <w:rPr>
          <w:rFonts w:ascii="Arial" w:hAnsi="Arial"/>
          <w:b/>
          <w:color w:val="161B26"/>
          <w:sz w:val="40"/>
        </w:rPr>
        <w:t>Developing AI Apps and Agents on Azure (AI-103)</w:t>
      </w:r>
    </w:p>
    <w:p>
      <w:pPr>
        <w:spacing w:after="360"/>
        <w:jc w:val="center"/>
      </w:pPr>
      <w:r>
        <w:rPr>
          <w:rFonts w:ascii="Arial" w:hAnsi="Arial"/>
          <w:b w:val="0"/>
          <w:color w:val="161B26"/>
          <w:sz w:val="24"/>
        </w:rPr>
        <w:t>TGS Ref No: TGS-2023036651</w:t>
      </w:r>
    </w:p>
    <w:p>
      <w:pPr>
        <w:spacing w:after="0"/>
        <w:jc w:val="center"/>
      </w:pPr>
      <w:r>
        <w:rPr>
          <w:rFonts w:ascii="Arial" w:hAnsi="Arial"/>
          <w:b w:val="0"/>
          <w:color w:val="5B6372"/>
          <w:sz w:val="24"/>
        </w:rPr>
        <w:t>Conducted by</w:t>
      </w:r>
    </w:p>
    <w:p>
      <w:pPr>
        <w:spacing w:after="0"/>
        <w:jc w:val="center"/>
      </w:pPr>
      <w:r>
        <w:rPr>
          <w:rFonts w:ascii="Arial" w:hAnsi="Arial"/>
          <w:b/>
          <w:color w:val="161B26"/>
          <w:sz w:val="26"/>
        </w:rPr>
        <w:t>Tertiary Infotech Academy Pte Ltd</w:t>
      </w:r>
    </w:p>
    <w:p>
      <w:pPr>
        <w:spacing w:after="360"/>
        <w:jc w:val="center"/>
      </w:pPr>
      <w:r>
        <w:rPr>
          <w:rFonts w:ascii="Arial" w:hAnsi="Arial"/>
          <w:b w:val="0"/>
          <w:color w:val="5B6372"/>
          <w:sz w:val="20"/>
        </w:rPr>
        <w:t>UEN: 201200696W</w:t>
      </w:r>
    </w:p>
    <w:p>
      <w:pPr>
        <w:spacing w:after="0"/>
        <w:jc w:val="center"/>
      </w:pPr>
      <w:r>
        <w:rPr>
          <w:rFonts w:ascii="Arial" w:hAnsi="Arial"/>
          <w:b/>
          <w:color w:val="1F6FEB"/>
          <w:sz w:val="24"/>
        </w:rPr>
        <w:t>Version 5.0</w:t>
      </w:r>
    </w:p>
    <w:p>
      <w:r>
        <w:br w:type="page"/>
      </w:r>
    </w:p>
    <w:p>
      <w:r>
        <w:rPr>
          <w:rFonts w:ascii="Arial" w:hAnsi="Arial"/>
          <w:b/>
          <w:color w:val="161B26"/>
          <w:sz w:val="28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459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459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459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2.0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26 Aug 2026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Prior AI-102 courseware release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Tertiary Infotech Academy Pte Ltd</w:t>
            </w:r>
          </w:p>
        </w:tc>
      </w:tr>
      <w:tr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3.0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27 Sep 2026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AI-103 title transition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Tertiary Infotech Academy Pte Ltd</w:t>
            </w:r>
          </w:p>
        </w:tc>
      </w:tr>
      <w:tr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4.0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27 Sep 2026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Five-domain AI-103 courseware and original Tertiary labs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Tertiary Infotech Academy Pte Ltd</w:t>
            </w:r>
          </w:p>
        </w:tc>
      </w:tr>
      <w:tr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5.0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27 Sep 2026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Updated to v5.0 deck slide map, pinned MicrosoftLearning lab sources, five AI-103 domains, and approved 60+60 minute assessments.</w:t>
            </w:r>
          </w:p>
        </w:tc>
        <w:tc>
          <w:tcPr>
            <w:tcW w:type="dxa" w:w="2459"/>
          </w:tcPr>
          <w:p>
            <w:r>
              <w:rPr>
                <w:rFonts w:ascii="Arial" w:hAnsi="Arial"/>
                <w:b w:val="0"/>
                <w:color w:val="161B26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color w:val="1F6FEB"/>
          <w:sz w:val="32"/>
        </w:rPr>
        <w:t>TABLE OF CONTENTS</w:t>
      </w:r>
    </w:p>
    <w:p>
      <w:fldChar w:fldCharType="begin"/>
      <w:instrText xml:space="preserve"> TOC \o "1-3" \h \z \u </w:instrText>
      <w:fldChar w:fldCharType="separate"/>
      <w:fldChar w:fldCharType="end"/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01  Course Overview</w:t>
      </w:r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02  Learning Outcomes</w:t>
      </w:r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03  Daily Schedule</w:t>
      </w:r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04  Topic-by-Topic Breakdown</w:t>
      </w:r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05  Resources Required</w:t>
      </w:r>
    </w:p>
    <w:p>
      <w:pPr>
        <w:spacing w:after="100"/>
      </w:pPr>
      <w:r>
        <w:rPr>
          <w:rFonts w:ascii="Arial" w:hAnsi="Arial"/>
          <w:b w:val="0"/>
          <w:color w:val="161B26"/>
          <w:sz w:val="21"/>
        </w:rPr>
        <w:t>06  Assessment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two-day instructor-led WSQ course that develops the ability to analyse, evaluate, and improve Azure AI solutions through Microsoft Foundry services, governed engineering decisions, and observable evidence.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t>LO1: Analyse algorithms in Microsoft Azure AI applications and establish their correlation with efficiency.</w:t>
      </w:r>
    </w:p>
    <w:p>
      <w:pPr>
        <w:pStyle w:val="ListBullet"/>
      </w:pPr>
      <w:r>
        <w:t>LO2: Identify and evaluate strengths and limitations of Microsoft Azure AI applications.</w:t>
      </w:r>
    </w:p>
    <w:p>
      <w:pPr>
        <w:pStyle w:val="ListBullet"/>
      </w:pPr>
      <w:r>
        <w:t>LO3: Assess feasibility and improvements when applying Azure AI to product and maintenance processes.</w:t>
      </w:r>
    </w:p>
    <w:p>
      <w:pPr>
        <w:pStyle w:val="Heading1"/>
      </w:pPr>
      <w:r>
        <w:t>Daily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7"/>
        <w:gridCol w:w="1967"/>
        <w:gridCol w:w="1967"/>
        <w:gridCol w:w="1967"/>
        <w:gridCol w:w="1967"/>
      </w:tblGrid>
      <w:tr>
        <w:tc>
          <w:tcPr>
            <w:tcW w:type="dxa" w:w="1967"/>
            <w:shd w:fill="1F6FEB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1967"/>
            <w:shd w:fill="1F6FEB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967"/>
            <w:shd w:fill="1F6FEB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1967"/>
            <w:shd w:fill="1F6FEB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1967"/>
            <w:shd w:fill="1F6FEB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Slides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09:00–09:40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40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Administration, outcomes, assessment briefing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Facilitated briefing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1–15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09:40–10:45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01: Plan a Foundry project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17–34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11:00–12:05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02: Evaluate models and release guardrails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35–53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12:05–13:00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03: Build a generative chat app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54–71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14:00–15:05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04: Build a Foundry agent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72–89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15:05–16:10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05: Use a custom tool in an agent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90–107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16:25–17:35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55–70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06: Develop a vision-enabled chat app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108–125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10:45–11:00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15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Morning break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Break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—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13:00–14:00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Lunch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Break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—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16:10–16:25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15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Afternoon break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Break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—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1 · 17:35–18:00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25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Evidence review and recap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Discussion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17–125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09:00–09:15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15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Digital attendance and recap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Review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 126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09:15–10:20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65–75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07: Analyze text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127–144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10:35–11:45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65–75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08: Develop a text analysis agent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145–162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11:45–13:00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65–75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09: Extract multimodal information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163–181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14:00–15:15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65–75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Topic/Lab 10: Build a knowledge mining solution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Mechanism + evidence lab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182–199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10:20–10:35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15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Morning break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Break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—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13:00–14:00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60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Lunch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Break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—</w:t>
            </w:r>
          </w:p>
        </w:tc>
      </w:tr>
      <w:tr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15:15–15:45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30 min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Assessment briefing and preparation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Briefing</w:t>
            </w:r>
          </w:p>
        </w:tc>
        <w:tc>
          <w:tcPr>
            <w:tcW w:type="dxa" w:w="1967"/>
            <w:vAlign w:val="center"/>
            <w:shd w:fill="F5F8FC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11–13</w:t>
            </w:r>
          </w:p>
        </w:tc>
      </w:tr>
      <w:tr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Day 2 · 16:00–18:00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120 min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WA-SAQ (60 min) + PP (60 min)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Open-book assessment</w:t>
            </w:r>
          </w:p>
        </w:tc>
        <w:tc>
          <w:tcPr>
            <w:tcW w:type="dxa" w:w="1967"/>
            <w:vAlign w:val="center"/>
          </w:tcPr>
          <w:p>
            <w:r>
              <w:rPr>
                <w:rFonts w:ascii="Arial" w:hAnsi="Arial"/>
                <w:b w:val="0"/>
                <w:color w:val="161B26"/>
                <w:sz w:val="16"/>
              </w:rPr>
              <w:t>Slides 202–204</w:t>
            </w:r>
          </w:p>
        </w:tc>
      </w:tr>
    </w:tbl>
    <w:p>
      <w:pPr>
        <w:pStyle w:val="Heading1"/>
      </w:pPr>
      <w:r>
        <w:t>Topic-by-Topic Breakdown</w:t>
      </w:r>
    </w:p>
    <w:p>
      <w:pPr>
        <w:pStyle w:val="Heading2"/>
      </w:pPr>
      <w:r>
        <w:t>Topic 01 - Plan a Foundry project · Slides 17–34</w:t>
      </w:r>
    </w:p>
    <w:p>
      <w:pPr>
        <w:pStyle w:val="Heading3"/>
      </w:pPr>
      <w:r>
        <w:t>Lab 01 - Plan a Foundry project · Slide 25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02 - Evaluate models and release guardrails · Slides 35–53</w:t>
      </w:r>
    </w:p>
    <w:p>
      <w:pPr>
        <w:pStyle w:val="Heading3"/>
      </w:pPr>
      <w:r>
        <w:t>Lab 02 - Evaluate models and release guardrails · Slide 44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03 - Build a generative chat app · Slides 54–71</w:t>
      </w:r>
    </w:p>
    <w:p>
      <w:pPr>
        <w:pStyle w:val="Heading3"/>
      </w:pPr>
      <w:r>
        <w:t>Lab 03 - Build a generative chat app · Slide 62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04 - Build a Foundry agent · Slides 72–89</w:t>
      </w:r>
    </w:p>
    <w:p>
      <w:pPr>
        <w:pStyle w:val="Heading3"/>
      </w:pPr>
      <w:r>
        <w:t>Lab 04 - Build a Foundry agent · Slide 80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05 - Use a custom tool in an agent · Slides 90–107</w:t>
      </w:r>
    </w:p>
    <w:p>
      <w:pPr>
        <w:pStyle w:val="Heading3"/>
      </w:pPr>
      <w:r>
        <w:t>Lab 05 - Use a custom tool in an agent · Slide 98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06 - Develop a vision-enabled chat app · Slides 108–125</w:t>
      </w:r>
    </w:p>
    <w:p>
      <w:pPr>
        <w:pStyle w:val="Heading3"/>
      </w:pPr>
      <w:r>
        <w:t>Lab 06 - Develop a vision-enabled chat app · Slide 116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07 - Analyze text · Slides 127–144</w:t>
      </w:r>
    </w:p>
    <w:p>
      <w:pPr>
        <w:pStyle w:val="Heading3"/>
      </w:pPr>
      <w:r>
        <w:t>Lab 07 - Analyze text · Slide 135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08 - Develop a text analysis agent · Slides 145–162</w:t>
      </w:r>
    </w:p>
    <w:p>
      <w:pPr>
        <w:pStyle w:val="Heading3"/>
      </w:pPr>
      <w:r>
        <w:t>Lab 08 - Develop a text analysis agent · Slide 153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09 - Extract multimodal information · Slides 163–181</w:t>
      </w:r>
    </w:p>
    <w:p>
      <w:pPr>
        <w:pStyle w:val="Heading3"/>
      </w:pPr>
      <w:r>
        <w:t>Lab 09 - Extract multimodal information · Slide 172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2"/>
      </w:pPr>
      <w:r>
        <w:t>Topic 10 - Build a knowledge mining solution · Slides 182–199</w:t>
      </w:r>
    </w:p>
    <w:p>
      <w:pPr>
        <w:pStyle w:val="Heading3"/>
      </w:pPr>
      <w:r>
        <w:t>Lab 10 - Build a knowledge mining solution · Slide 190</w:t>
      </w:r>
    </w:p>
    <w:p>
      <w:r>
        <w:t>Coverage: architecture and boundaries; runtime mechanism; exact fields/endpoints; implementation excerpt; editable metric; decision rule; failure/control; activity bridge; acceptance evidence.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Trainer PPTX and learner PDF</w:t>
      </w:r>
    </w:p>
    <w:p>
      <w:pPr>
        <w:pStyle w:val="ListBullet"/>
      </w:pPr>
      <w:r>
        <w:t>Learner Guide</w:t>
      </w:r>
    </w:p>
    <w:p>
      <w:pPr>
        <w:pStyle w:val="ListBullet"/>
      </w:pPr>
      <w:r>
        <w:t>Azure subscription or trainer-provided lab environment</w:t>
      </w:r>
    </w:p>
    <w:p>
      <w:pPr>
        <w:pStyle w:val="ListBullet"/>
      </w:pPr>
      <w:r>
        <w:t>Modern browser, Azure CLI, Python 3, and Visual Studio Code as required</w:t>
      </w:r>
    </w:p>
    <w:p>
      <w:pPr>
        <w:pStyle w:val="ListBullet"/>
      </w:pPr>
      <w:r>
        <w:t>LMS/TMS access for courseware and assessment</w:t>
      </w:r>
    </w:p>
    <w:p>
      <w:pPr>
        <w:pStyle w:val="Heading1"/>
      </w:pPr>
      <w:r>
        <w:t>Assessment</w:t>
      </w:r>
    </w:p>
    <w:p>
      <w:r>
        <w:t>Approved instruments: Written Assessment - Short-Answer Questions (WA-SAQ), 60 minutes, K1–K6; Practical Performance (PP), 60 minutes, A1–A6. Both are individual and open book. Complete assessment digital attendance before starting and submit candidate papers on the LMS.</w:t>
      </w:r>
    </w:p>
    <w:sectPr w:rsidR="00FC693F" w:rsidRPr="0006063C" w:rsidSect="00034616">
      <w:footerReference w:type="default" r:id="rId10"/>
      <w:pgSz w:w="11909" w:h="16834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B6372"/>
        <w:sz w:val="16"/>
      </w:rPr>
      <w:t xml:space="preserve">© 2026 Tertiary Infotech Academy Pte Ltd · Page </w:t>
    </w:r>
    <w:fldSimple w:instr="PAGE">
      <w:r>
        <w:t>1</w:t>
      </w:r>
    </w:fldSimple>
    <w:r>
      <w:rPr>
        <w:rFonts w:ascii="Arial" w:hAnsi="Arial"/>
        <w:b w:val="0"/>
        <w:color w:val="5B6372"/>
        <w:sz w:val="16"/>
      </w:rPr>
      <w:t xml:space="preserve"> of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8A7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