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WSQ - Generative AI for Problem Solving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TGS-2023036653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21.0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20.0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 March 2025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Legacy master lesson plan — Innovative Problem Solving with Generative AI.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21.0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17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Major revision. Retitled to the published course title. Rebuilt around 10 real-life workplace case-study activities (ShopFront SG, Meridian Health, Horizon Bank, Nexa Logistics) each with scenario, evidence, discussion questions and debrief. Added the four problem-solving ed-tools (5 Whys, Fishbone, Pareto, System Loop), a 10-prompt GenAI library, and content beefed up from Skills for Success, IMD, MIT CCMIT, Six Sigma, LSE Business Review and current GenAI problem-solving research.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Target Audience and Prerequisites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Training Resources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Frame the problem and find the true root cause — with GenAI as your analyst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Generate, choose, implement and prove the solution — with GenAI as your consultant</w:t>
        <w:tab/>
        <w:t>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Activity Reference (aligned to TSC abilities)</w:t>
        <w:tab/>
        <w:t>7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Detailed Activity Schedule</w:t>
        <w:tab/>
        <w:t>7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WSQ - Generative AI for Problem Solving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WSQ Course Reference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TGS-2023036653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TSC Alignment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Problem Identification (RET-ACE-4006-1.1)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 days · 8 training hours per day (16 hours)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9:30 am – 6:30 pm (1-hour lunch; tea breaks within training time)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case-study based. Physical classroom, synchronous ZOOM or corporate on-site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Class Size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Maximum 20 learners; activities run in teams of 3-5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Dr. Alfred Ang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Identify performance deficiencies and root causes impacting organisational aspects</w:t>
      </w:r>
    </w:p>
    <w:p>
      <w:pPr>
        <w:pStyle w:val="ListBullet"/>
      </w:pPr>
      <w:r>
        <w:rPr>
          <w:sz w:val="21"/>
        </w:rPr>
        <w:t>LO2: Deduce key implications, develop corrective plans, and shortlist viable solutions</w:t>
      </w:r>
    </w:p>
    <w:p>
      <w:pPr>
        <w:pStyle w:val="ListBullet"/>
      </w:pPr>
      <w:r>
        <w:rPr>
          <w:sz w:val="21"/>
        </w:rPr>
        <w:t>LO3: Determine preferred solutions and evaluate the effectiveness of implemented plans</w:t>
      </w:r>
    </w:p>
    <w:p>
      <w:pPr>
        <w:pStyle w:val="Heading1"/>
      </w:pPr>
      <w:r>
        <w:t>Target Audience and Prerequisites</w:t>
      </w:r>
    </w:p>
    <w:p>
      <w:pPr>
        <w:pStyle w:val="ListBullet"/>
      </w:pPr>
      <w:r>
        <w:rPr>
          <w:sz w:val="21"/>
        </w:rPr>
        <w:t>Operations, project, HR, quality, process-improvement and team-leadership roles that must diagnose and resolve recurring workplace problems.</w:t>
      </w:r>
    </w:p>
    <w:p>
      <w:pPr>
        <w:pStyle w:val="ListBullet"/>
      </w:pPr>
      <w:r>
        <w:rPr>
          <w:sz w:val="21"/>
        </w:rPr>
        <w:t>Beginner level — no prior problem-solving or AI training is required.</w:t>
      </w:r>
    </w:p>
    <w:p>
      <w:pPr>
        <w:pStyle w:val="ListBullet"/>
      </w:pPr>
      <w:r>
        <w:rPr>
          <w:sz w:val="21"/>
        </w:rPr>
        <w:t>Minimum 3 GCE 'O' Level passes including English, or WPL Level 5.</w:t>
      </w:r>
    </w:p>
    <w:p>
      <w:pPr>
        <w:pStyle w:val="ListBullet"/>
      </w:pPr>
      <w:r>
        <w:rPr>
          <w:sz w:val="21"/>
        </w:rPr>
        <w:t>At least 1 year of working experience.</w:t>
      </w:r>
    </w:p>
    <w:p>
      <w:pPr>
        <w:pStyle w:val="ListBullet"/>
      </w:pPr>
      <w:r>
        <w:rPr>
          <w:sz w:val="21"/>
        </w:rPr>
        <w:t>A laptop with a browser and access to a generative AI tool (ChatGPT, Copilot, Gemini or Claude).</w:t>
      </w:r>
    </w:p>
    <w:p>
      <w:pPr>
        <w:pStyle w:val="Heading1"/>
      </w:pPr>
      <w:r>
        <w:t>Training Resources</w:t>
      </w:r>
    </w:p>
    <w:p>
      <w:pPr>
        <w:pStyle w:val="ListBullet"/>
      </w:pPr>
      <w:r>
        <w:rPr>
          <w:sz w:val="21"/>
        </w:rPr>
        <w:t>Trainer slide deck (v21.0), Learner Guide and activity briefs on https://lms-tms.tertiaryinfotech.com</w:t>
      </w:r>
    </w:p>
    <w:p>
      <w:pPr>
        <w:pStyle w:val="ListBullet"/>
      </w:pPr>
      <w:r>
        <w:rPr>
          <w:sz w:val="21"/>
        </w:rPr>
        <w:t>Problem-solving ed-tools: 5 Whys (https://alfredang.github.io/5whys/); Fishbone (https://alfredang.github.io/fishbone/); Pareto Chart (https://alfredang.github.io/paretochart/); System Loop (https://alfredang.github.io/systemloop/); CollabNote (https://alfredang.github.io/collabnote/); Pinboard (https://alfredang.github.io/pinboard/)</w:t>
      </w:r>
    </w:p>
    <w:p>
      <w:pPr>
        <w:pStyle w:val="ListBullet"/>
      </w:pPr>
      <w:r>
        <w:rPr>
          <w:sz w:val="21"/>
        </w:rPr>
        <w:t>Generative AI tools: ChatGPT, Microsoft Copilot, Google Gemini, Claude</w:t>
      </w:r>
    </w:p>
    <w:p>
      <w:pPr>
        <w:pStyle w:val="ListBullet"/>
      </w:pPr>
      <w:r>
        <w:rPr>
          <w:sz w:val="21"/>
        </w:rPr>
        <w:t>Flip charts, post-it notes and markers for team activities</w:t>
      </w:r>
    </w:p>
    <w:p>
      <w:pPr>
        <w:pStyle w:val="Heading1"/>
      </w:pPr>
      <w:r>
        <w:t>Assessment</w:t>
      </w:r>
    </w:p>
    <w:p>
      <w:pPr>
        <w:pStyle w:val="ListBullet"/>
      </w:pPr>
      <w:r>
        <w:rPr>
          <w:sz w:val="21"/>
        </w:rPr>
        <w:t>Written Assessment (WA) — Short-Answer Questions (SAQ), open book.</w:t>
      </w:r>
    </w:p>
    <w:p>
      <w:pPr>
        <w:pStyle w:val="ListBullet"/>
      </w:pPr>
      <w:r>
        <w:rPr>
          <w:sz w:val="21"/>
        </w:rPr>
        <w:t>Case Study (CS) — an integrated workplace problem-solving scenario, open book.</w:t>
      </w:r>
    </w:p>
    <w:p>
      <w:pPr>
        <w:pStyle w:val="ListBullet"/>
      </w:pPr>
      <w:r>
        <w:rPr>
          <w:sz w:val="21"/>
        </w:rPr>
        <w:t>Format: Open book covers the slides, Learner Guide and approved materials only.</w:t>
      </w:r>
    </w:p>
    <w:p>
      <w:pPr>
        <w:pStyle w:val="ListBullet"/>
      </w:pPr>
      <w:r>
        <w:rPr>
          <w:sz w:val="21"/>
        </w:rPr>
        <w:t>The final assessment is conducted on Day 2 from 5:45 pm, after the Briefing for Assessment.</w:t>
      </w:r>
    </w:p>
    <w:p>
      <w:pPr>
        <w:pStyle w:val="ListBullet"/>
      </w:pPr>
      <w:r>
        <w:rPr>
          <w:sz w:val="21"/>
        </w:rPr>
        <w:t>A minimum of 75% attendance based on the SSG Digital Attendance record, and a 'Competent' result in both instruments, are required for certification and funding.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Frame the problem and find the true root cause — with GenAI as your analyst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9:30–10:00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trainer and learner introductions, ground rules, learning outcomes, course outline and mandatory digital attendance (AM). Slides 1-23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10:00–11:00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— Problem framing: symptom vs problem vs root cause, well-defined vs ill-defined problems, the IDEAL cycle, the six elements of a workplace problem statement, cognitive barriers, and how GenAI fits the problem-solving cycle. Slides 24-37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11:00–11:15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 (within training time)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11:15–12:30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Activity 1: Rewriting a Vague Problem into a Measurable Problem Statement (Slides 38-43)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12:30–13:30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13:30–14:00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Digital attendance (PM). Topic 1 continued — the root cause toolkit: choosing between 5 Whys, Fishbone, Pareto and System Loops. Slides 44-49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14:00–15:00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Activity 2: 5 Whys Root Cause Analysis (Slides 50-54)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15:00–16:00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Activity 3: Fishbone (Ishikawa) Diagram for Breadth of Causes (Slides 60-64)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16:00–16:15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 (within training time)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16:15–17:15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Activity 4: Pareto Analysis to Target the Vital Few (Slides 70-74)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17:15–18:15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Activity 5: System Loops: Why the Problem Keeps Coming Back (Slides 81-85)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18:15–18:30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recap, Q&amp;A and PM digital attendance. Slide 88</w:t>
            </w:r>
          </w:p>
        </w:tc>
      </w:tr>
    </w:tbl>
    <w:p>
      <w:r>
        <w:rPr>
          <w:i/>
          <w:color w:val="555B66"/>
          <w:sz w:val="19"/>
        </w:rPr>
        <w:t>Total training time: 480 minutes (8 hours).</w:t>
      </w:r>
    </w:p>
    <w:p>
      <w:pPr>
        <w:pStyle w:val="Heading2"/>
      </w:pPr>
      <w:r>
        <w:t>Day 2 — Generate, choose, implement and prove the solution — with GenAI as your consultant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9:30–10:00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 and mandatory digital attendance (AM). Slides 86-88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10:00–10:45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— Divergence before convergence: the solution funnel, divergent techniques (brainstorming, SCAMPER, Generic Parts, analogy, nominal group), and separating hard constraints from habits. Slides 89-96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10:45–11:00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 (within training time)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11:00–12:00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Activity 6: Divergent Ideation with GenAI (Breadth Before Judgement) (Slides 97-102)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12:00–12:30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Convergence tools: the Impact-Ease matrix, the weighted decision matrix and sensitivity testing. Slides 103-107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12:30–13:30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13:30–14:20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50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Digital attendance (PM). Hands-on: Activity 7: Converging: Impact-Ease Matrix and Weighted Decision Matrix (Slides 108-112)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14:20–15:10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50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Activity 8: Building the Corrective Action Plan (Slides 117-121)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15:10–15:40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 — Implementation and change: factors affecting effectiveness, stakeholder resistance, change management actions and the messenger principle. Slides 123-130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15:40–15:55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 (within training time)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15:55–16:45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50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Activity 9: Implementation Planning and Stakeholder Resistance (Slides 131-135)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16:45–17:30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Activity 10: Measuring Effectiveness: Did It Actually Work? (Slides 142-146). Sustaining the gain (PDCA). Slides 147-149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17:30–17:45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Course summary, Q&amp;A, course feedback and mandatory TRAQOM survey. Slides 150-153</w:t>
            </w:r>
          </w:p>
        </w:tc>
      </w:tr>
      <w:t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17:45–18:00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Briefing for Assessment. Slide 154</w:t>
            </w:r>
          </w:p>
        </w:tc>
      </w:tr>
      <w:t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18:00–18:30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Digital attendance (Assessment). Final Assessment — Written Assessment (WA, short-answer questions) and Case Study (CS), open book. Slides 155-157</w:t>
            </w:r>
          </w:p>
        </w:tc>
      </w:tr>
    </w:tbl>
    <w:p>
      <w:r>
        <w:rPr>
          <w:i/>
          <w:color w:val="555B66"/>
          <w:sz w:val="19"/>
        </w:rPr>
        <w:t>Total training time: 480 minutes (8 hours).</w:t>
      </w:r>
    </w:p>
    <w:p>
      <w:pPr>
        <w:pStyle w:val="Heading1"/>
      </w:pPr>
      <w:r>
        <w:t>Activity Reference (aligned to TSC abilities)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TSC coverage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Activities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Case study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Topic 01: Identifying Performance Gaps and Root Causes with Generative AI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8"/>
              </w:rPr>
              <w:t>K1, K2, K5 · A1, A2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Activity 1, Activity 2, Activity 3, Activity 4, Activity 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Horizon Bank; Horizon Bank revisited; Meridian Health Screening; Nexa Logistics; ShopFront SG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Topic 02: Developing Corrective Plans and Evaluating Potential Solutions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8"/>
              </w:rPr>
              <w:t>K4, K6, K9 · A3, A4, A5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Activity 6, Activity 7, Activity 8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Meridian Health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Topic 03: Selecting, Implementing and Measuring Solution Effectiveness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8"/>
              </w:rPr>
              <w:t>K3, K7, K8 · A6, A7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Activity 9, Activity 10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ShopFront SG</w:t>
            </w:r>
          </w:p>
        </w:tc>
      </w:tr>
    </w:tbl>
    <w:p>
      <w:pPr>
        <w:pStyle w:val="Heading1"/>
      </w:pPr>
      <w:r>
        <w:t>Detailed Activity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04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4464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Activity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Grouping</w:t>
            </w:r>
          </w:p>
        </w:tc>
        <w:tc>
          <w:tcPr>
            <w:tcW w:type="dxa" w:w="151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Slides</w:t>
            </w:r>
          </w:p>
        </w:tc>
      </w:tr>
      <w:tr>
        <w:tc>
          <w:tcPr>
            <w:tcW w:type="dxa" w:w="504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1</w:t>
            </w:r>
          </w:p>
        </w:tc>
        <w:tc>
          <w:tcPr>
            <w:tcW w:type="dxa" w:w="4464"/>
          </w:tcPr>
          <w:p>
            <w:r/>
            <w:r>
              <w:rPr>
                <w:rFonts w:ascii="Arial" w:hAnsi="Arial"/>
                <w:b w:val="0"/>
                <w:sz w:val="18"/>
              </w:rPr>
              <w:t>Rewriting a Vague Problem into a Measurable Problem Statement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8"/>
              </w:rPr>
              <w:t>45 minutes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8"/>
              </w:rPr>
              <w:t>Teams of 3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8"/>
              </w:rPr>
              <w:t>Slides 38-43</w:t>
            </w:r>
          </w:p>
        </w:tc>
      </w:tr>
      <w:tr>
        <w:tc>
          <w:tcPr>
            <w:tcW w:type="dxa" w:w="504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2</w:t>
            </w:r>
          </w:p>
        </w:tc>
        <w:tc>
          <w:tcPr>
            <w:tcW w:type="dxa" w:w="4464"/>
          </w:tcPr>
          <w:p>
            <w:r/>
            <w:r>
              <w:rPr>
                <w:rFonts w:ascii="Arial" w:hAnsi="Arial"/>
                <w:b w:val="0"/>
                <w:sz w:val="18"/>
              </w:rPr>
              <w:t>5 Whys Root Cause Analysis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8"/>
              </w:rPr>
              <w:t>45 minutes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8"/>
              </w:rPr>
              <w:t>Teams of 3-5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8"/>
              </w:rPr>
              <w:t>Slides 50-54</w:t>
            </w:r>
          </w:p>
        </w:tc>
      </w:tr>
      <w:tr>
        <w:tc>
          <w:tcPr>
            <w:tcW w:type="dxa" w:w="504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3</w:t>
            </w:r>
          </w:p>
        </w:tc>
        <w:tc>
          <w:tcPr>
            <w:tcW w:type="dxa" w:w="4464"/>
          </w:tcPr>
          <w:p>
            <w:r/>
            <w:r>
              <w:rPr>
                <w:rFonts w:ascii="Arial" w:hAnsi="Arial"/>
                <w:b w:val="0"/>
                <w:sz w:val="18"/>
              </w:rPr>
              <w:t>Fishbone (Ishikawa) Diagram for Breadth of Causes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8"/>
              </w:rPr>
              <w:t>45 minutes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8"/>
              </w:rPr>
              <w:t>Teams of 3-5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8"/>
              </w:rPr>
              <w:t>Slides 60-64</w:t>
            </w:r>
          </w:p>
        </w:tc>
      </w:tr>
      <w:tr>
        <w:tc>
          <w:tcPr>
            <w:tcW w:type="dxa" w:w="504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4</w:t>
            </w:r>
          </w:p>
        </w:tc>
        <w:tc>
          <w:tcPr>
            <w:tcW w:type="dxa" w:w="4464"/>
          </w:tcPr>
          <w:p>
            <w:r/>
            <w:r>
              <w:rPr>
                <w:rFonts w:ascii="Arial" w:hAnsi="Arial"/>
                <w:b w:val="0"/>
                <w:sz w:val="18"/>
              </w:rPr>
              <w:t>Pareto Analysis to Target the Vital Few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8"/>
              </w:rPr>
              <w:t>40 minutes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8"/>
              </w:rPr>
              <w:t>Teams of 3-5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8"/>
              </w:rPr>
              <w:t>Slides 70-74</w:t>
            </w:r>
          </w:p>
        </w:tc>
      </w:tr>
      <w:tr>
        <w:tc>
          <w:tcPr>
            <w:tcW w:type="dxa" w:w="504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5</w:t>
            </w:r>
          </w:p>
        </w:tc>
        <w:tc>
          <w:tcPr>
            <w:tcW w:type="dxa" w:w="4464"/>
          </w:tcPr>
          <w:p>
            <w:r/>
            <w:r>
              <w:rPr>
                <w:rFonts w:ascii="Arial" w:hAnsi="Arial"/>
                <w:b w:val="0"/>
                <w:sz w:val="18"/>
              </w:rPr>
              <w:t>System Loops: Why the Problem Keeps Coming Back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8"/>
              </w:rPr>
              <w:t>50 minutes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8"/>
              </w:rPr>
              <w:t>Teams of 3-5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8"/>
              </w:rPr>
              <w:t>Slides 81-85</w:t>
            </w:r>
          </w:p>
        </w:tc>
      </w:tr>
      <w:tr>
        <w:tc>
          <w:tcPr>
            <w:tcW w:type="dxa" w:w="504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6</w:t>
            </w:r>
          </w:p>
        </w:tc>
        <w:tc>
          <w:tcPr>
            <w:tcW w:type="dxa" w:w="4464"/>
          </w:tcPr>
          <w:p>
            <w:r/>
            <w:r>
              <w:rPr>
                <w:rFonts w:ascii="Arial" w:hAnsi="Arial"/>
                <w:b w:val="0"/>
                <w:sz w:val="18"/>
              </w:rPr>
              <w:t>Divergent Ideation with GenAI (Breadth Before Judgement)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8"/>
              </w:rPr>
              <w:t>45 minutes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8"/>
              </w:rPr>
              <w:t>Teams of 3-5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8"/>
              </w:rPr>
              <w:t>Slides 97-102</w:t>
            </w:r>
          </w:p>
        </w:tc>
      </w:tr>
      <w:tr>
        <w:tc>
          <w:tcPr>
            <w:tcW w:type="dxa" w:w="504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7</w:t>
            </w:r>
          </w:p>
        </w:tc>
        <w:tc>
          <w:tcPr>
            <w:tcW w:type="dxa" w:w="4464"/>
          </w:tcPr>
          <w:p>
            <w:r/>
            <w:r>
              <w:rPr>
                <w:rFonts w:ascii="Arial" w:hAnsi="Arial"/>
                <w:b w:val="0"/>
                <w:sz w:val="18"/>
              </w:rPr>
              <w:t>Converging: Impact-Ease Matrix and Weighted Decision Matrix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8"/>
              </w:rPr>
              <w:t>50 minutes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8"/>
              </w:rPr>
              <w:t>Teams of 3-5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8"/>
              </w:rPr>
              <w:t>Slides 108-112</w:t>
            </w:r>
          </w:p>
        </w:tc>
      </w:tr>
      <w:tr>
        <w:tc>
          <w:tcPr>
            <w:tcW w:type="dxa" w:w="504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8</w:t>
            </w:r>
          </w:p>
        </w:tc>
        <w:tc>
          <w:tcPr>
            <w:tcW w:type="dxa" w:w="4464"/>
          </w:tcPr>
          <w:p>
            <w:r/>
            <w:r>
              <w:rPr>
                <w:rFonts w:ascii="Arial" w:hAnsi="Arial"/>
                <w:b w:val="0"/>
                <w:sz w:val="18"/>
              </w:rPr>
              <w:t>Building the Corrective Action Plan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8"/>
              </w:rPr>
              <w:t>45 minutes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8"/>
              </w:rPr>
              <w:t>Teams of 3-5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8"/>
              </w:rPr>
              <w:t>Slides 117-121</w:t>
            </w:r>
          </w:p>
        </w:tc>
      </w:tr>
      <w:tr>
        <w:tc>
          <w:tcPr>
            <w:tcW w:type="dxa" w:w="504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9</w:t>
            </w:r>
          </w:p>
        </w:tc>
        <w:tc>
          <w:tcPr>
            <w:tcW w:type="dxa" w:w="4464"/>
          </w:tcPr>
          <w:p>
            <w:r/>
            <w:r>
              <w:rPr>
                <w:rFonts w:ascii="Arial" w:hAnsi="Arial"/>
                <w:b w:val="0"/>
                <w:sz w:val="18"/>
              </w:rPr>
              <w:t>Implementation Planning and Stakeholder Resistance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8"/>
              </w:rPr>
              <w:t>50 minutes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8"/>
              </w:rPr>
              <w:t>Teams of 3-5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8"/>
              </w:rPr>
              <w:t>Slides 131-135</w:t>
            </w:r>
          </w:p>
        </w:tc>
      </w:tr>
      <w:tr>
        <w:tc>
          <w:tcPr>
            <w:tcW w:type="dxa" w:w="504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10</w:t>
            </w:r>
          </w:p>
        </w:tc>
        <w:tc>
          <w:tcPr>
            <w:tcW w:type="dxa" w:w="4464"/>
          </w:tcPr>
          <w:p>
            <w:r/>
            <w:r>
              <w:rPr>
                <w:rFonts w:ascii="Arial" w:hAnsi="Arial"/>
                <w:b w:val="0"/>
                <w:sz w:val="18"/>
              </w:rPr>
              <w:t>Measuring Effectiveness: Did It Actually Work?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8"/>
              </w:rPr>
              <w:t>45 minutes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8"/>
              </w:rPr>
              <w:t>Teams of 3-5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8"/>
              </w:rPr>
              <w:t>Slides 142-146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