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74519" cy="1874519"/>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1874519" cy="1874519"/>
                    </a:xfrm>
                    <a:prstGeom prst="rect"/>
                  </pic:spPr>
                </pic:pic>
              </a:graphicData>
            </a:graphic>
          </wp:inline>
        </w:drawing>
      </w:r>
    </w:p>
    <w:p/>
    <w:p>
      <w:pPr>
        <w:pStyle w:val="Title"/>
        <w:jc w:val="center"/>
      </w:pPr>
      <w:r>
        <w:t>WSQ</w:t>
      </w:r>
    </w:p>
    <w:p>
      <w:pPr>
        <w:jc w:val="center"/>
      </w:pPr>
      <w:r>
        <w:rPr>
          <w:b/>
          <w:sz w:val="42"/>
        </w:rPr>
        <w:t>Lesson Plan</w:t>
      </w:r>
    </w:p>
    <w:p>
      <w:pPr>
        <w:jc w:val="center"/>
      </w:pPr>
      <w:r>
        <w:t>For</w:t>
      </w:r>
    </w:p>
    <w:p>
      <w:pPr>
        <w:jc w:val="center"/>
      </w:pPr>
      <w:r>
        <w:rPr>
          <w:b/>
          <w:color w:val="1F6FEB"/>
          <w:sz w:val="48"/>
        </w:rPr>
        <w:t>AI Vibe Coding for iOS Mobile Apps Development</w:t>
      </w:r>
    </w:p>
    <w:p>
      <w:pPr>
        <w:jc w:val="center"/>
      </w:pPr>
      <w:r>
        <w:t>TGS-2023037545</w:t>
        <w:br/>
        <w:t>Software Design 3 · ICT-DES-3005-1.1</w:t>
      </w:r>
    </w:p>
    <w:p/>
    <w:p>
      <w:pPr>
        <w:jc w:val="center"/>
      </w:pPr>
      <w:r>
        <w:t>Conducted by</w:t>
        <w:br/>
        <w:t>Tertiary Infotech Academy Pte Ltd</w:t>
        <w:br/>
        <w:t>UEN 201200696W</w:t>
      </w:r>
    </w:p>
    <w:p>
      <w:pPr>
        <w:jc w:val="center"/>
      </w:pPr>
      <w:r>
        <w:rPr>
          <w:b/>
        </w:rPr>
        <w:t>Version 1.0 · 12 September 2026</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F6FEB"/>
          </w:tcPr>
          <w:p>
            <w:r>
              <w:rPr>
                <w:b/>
                <w:color w:val="FFFFFF"/>
              </w:rPr>
              <w:t>Version Number</w:t>
            </w:r>
          </w:p>
        </w:tc>
        <w:tc>
          <w:tcPr>
            <w:tcW w:type="dxa" w:w="2541"/>
            <w:shd w:fill="1F6FEB"/>
          </w:tcPr>
          <w:p>
            <w:r>
              <w:rPr>
                <w:b/>
                <w:color w:val="FFFFFF"/>
              </w:rPr>
              <w:t>Effective Date of Release</w:t>
            </w:r>
          </w:p>
        </w:tc>
        <w:tc>
          <w:tcPr>
            <w:tcW w:type="dxa" w:w="2541"/>
            <w:shd w:fill="1F6FEB"/>
          </w:tcPr>
          <w:p>
            <w:r>
              <w:rPr>
                <w:b/>
                <w:color w:val="FFFFFF"/>
              </w:rPr>
              <w:t>Summary of Included Changes</w:t>
            </w:r>
          </w:p>
        </w:tc>
        <w:tc>
          <w:tcPr>
            <w:tcW w:type="dxa" w:w="2541"/>
            <w:shd w:fill="1F6FEB"/>
          </w:tcPr>
          <w:p>
            <w:r>
              <w:rPr>
                <w:b/>
                <w:color w:val="FFFFFF"/>
              </w:rPr>
              <w:t>Author</w:t>
            </w:r>
          </w:p>
        </w:tc>
      </w:tr>
      <w:tr>
        <w:tc>
          <w:tcPr>
            <w:tcW w:type="dxa" w:w="2541"/>
          </w:tcPr>
          <w:p>
            <w:r>
              <w:t>1.0</w:t>
            </w:r>
          </w:p>
        </w:tc>
        <w:tc>
          <w:tcPr>
            <w:tcW w:type="dxa" w:w="2541"/>
          </w:tcPr>
          <w:p>
            <w:r>
              <w:t>12 September 2026</w:t>
            </w:r>
          </w:p>
        </w:tc>
        <w:tc>
          <w:tcPr>
            <w:tcW w:type="dxa" w:w="2541"/>
          </w:tcPr>
          <w:p>
            <w:r>
              <w:t>Initial issue: portable C++ core, Objective-C++ adapter, SwiftUI shell, AI-assisted TDD, ten Activities and aligned assessments.</w:t>
            </w:r>
          </w:p>
        </w:tc>
        <w:tc>
          <w:tcPr>
            <w:tcW w:type="dxa" w:w="2541"/>
          </w:tcPr>
          <w:p>
            <w:r>
              <w:t>Tertiary Infotech Academy</w:t>
            </w:r>
          </w:p>
        </w:tc>
      </w:tr>
    </w:tbl>
    <w:p/>
    <w:p>
      <w:pPr>
        <w:pStyle w:val="Heading1"/>
      </w:pPr>
      <w:r>
        <w:t>Table of Contents</w:t>
      </w:r>
    </w:p>
    <w:p>
      <w:r>
        <w:fldChar w:fldCharType="begin"/>
      </w:r>
      <w:r>
        <w:instrText xml:space="preserve">TOC \o "1-3" \h \z \u</w:instrText>
      </w:r>
      <w:r>
        <w:fldChar w:fldCharType="separate"/>
      </w:r>
      <w:r>
        <w:fldChar w:fldCharType="end"/>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6FEB"/>
          </w:tcPr>
          <w:p>
            <w:r>
              <w:rPr>
                <w:b/>
                <w:color w:val="FFFFFF"/>
              </w:rPr>
              <w:t>Section</w:t>
            </w:r>
          </w:p>
        </w:tc>
        <w:tc>
          <w:tcPr>
            <w:tcW w:type="dxa" w:w="5083"/>
            <w:shd w:fill="1F6FEB"/>
          </w:tcPr>
          <w:p>
            <w:r>
              <w:rPr>
                <w:b/>
                <w:color w:val="FFFFFF"/>
              </w:rPr>
              <w:t>Page</w:t>
            </w:r>
          </w:p>
        </w:tc>
      </w:tr>
      <w:tr>
        <w:trPr>
          <w:cantSplit/>
        </w:trPr>
        <w:tc>
          <w:tcPr>
            <w:tcW w:type="dxa" w:w="5083"/>
            <w:vAlign w:val="center"/>
            <w:shd w:fill="F5F8FC"/>
          </w:tcPr>
          <w:p>
            <w:r>
              <w:t>Course and Assessment Parameters</w:t>
            </w:r>
          </w:p>
        </w:tc>
        <w:tc>
          <w:tcPr>
            <w:tcW w:type="dxa" w:w="5083"/>
            <w:vAlign w:val="center"/>
            <w:shd w:fill="F5F8FC"/>
          </w:tcPr>
          <w:p>
            <w:r>
              <w:t>3</w:t>
            </w:r>
          </w:p>
        </w:tc>
      </w:tr>
      <w:tr>
        <w:trPr>
          <w:cantSplit/>
        </w:trPr>
        <w:tc>
          <w:tcPr>
            <w:tcW w:type="dxa" w:w="5083"/>
            <w:vAlign w:val="center"/>
          </w:tcPr>
          <w:p>
            <w:r>
              <w:t>Learning Outcomes and Slide Alignment</w:t>
            </w:r>
          </w:p>
        </w:tc>
        <w:tc>
          <w:tcPr>
            <w:tcW w:type="dxa" w:w="5083"/>
            <w:vAlign w:val="center"/>
          </w:tcPr>
          <w:p>
            <w:r>
              <w:t>3</w:t>
            </w:r>
          </w:p>
        </w:tc>
      </w:tr>
      <w:tr>
        <w:trPr>
          <w:cantSplit/>
        </w:trPr>
        <w:tc>
          <w:tcPr>
            <w:tcW w:type="dxa" w:w="5083"/>
            <w:vAlign w:val="center"/>
            <w:shd w:fill="F5F8FC"/>
          </w:tcPr>
          <w:p>
            <w:r>
              <w:t>Day 1 · Requirements, Core and Tooling</w:t>
            </w:r>
          </w:p>
        </w:tc>
        <w:tc>
          <w:tcPr>
            <w:tcW w:type="dxa" w:w="5083"/>
            <w:vAlign w:val="center"/>
            <w:shd w:fill="F5F8FC"/>
          </w:tcPr>
          <w:p>
            <w:r>
              <w:t>4</w:t>
            </w:r>
          </w:p>
        </w:tc>
      </w:tr>
      <w:tr>
        <w:trPr>
          <w:cantSplit/>
        </w:trPr>
        <w:tc>
          <w:tcPr>
            <w:tcW w:type="dxa" w:w="5083"/>
            <w:vAlign w:val="center"/>
          </w:tcPr>
          <w:p>
            <w:r>
              <w:t>Day 2 · Shell, Interoperability and Evidence</w:t>
            </w:r>
          </w:p>
        </w:tc>
        <w:tc>
          <w:tcPr>
            <w:tcW w:type="dxa" w:w="5083"/>
            <w:vAlign w:val="center"/>
          </w:tcPr>
          <w:p>
            <w:r>
              <w:t>5</w:t>
            </w:r>
          </w:p>
        </w:tc>
      </w:tr>
      <w:tr>
        <w:trPr>
          <w:cantSplit/>
        </w:trPr>
        <w:tc>
          <w:tcPr>
            <w:tcW w:type="dxa" w:w="5083"/>
            <w:vAlign w:val="center"/>
            <w:shd w:fill="F5F8FC"/>
          </w:tcPr>
          <w:p>
            <w:r>
              <w:t>Activity Alignment</w:t>
            </w:r>
          </w:p>
        </w:tc>
        <w:tc>
          <w:tcPr>
            <w:tcW w:type="dxa" w:w="5083"/>
            <w:vAlign w:val="center"/>
            <w:shd w:fill="F5F8FC"/>
          </w:tcPr>
          <w:p>
            <w:r>
              <w:t>5–6</w:t>
            </w:r>
          </w:p>
        </w:tc>
      </w:tr>
      <w:tr>
        <w:trPr>
          <w:cantSplit/>
        </w:trPr>
        <w:tc>
          <w:tcPr>
            <w:tcW w:type="dxa" w:w="5083"/>
            <w:vAlign w:val="center"/>
          </w:tcPr>
          <w:p>
            <w:r>
              <w:t>Facilitation and Evidence Notes</w:t>
            </w:r>
          </w:p>
        </w:tc>
        <w:tc>
          <w:tcPr>
            <w:tcW w:type="dxa" w:w="5083"/>
            <w:vAlign w:val="center"/>
          </w:tcPr>
          <w:p>
            <w:r>
              <w:t>6</w:t>
            </w:r>
          </w:p>
        </w:tc>
      </w:tr>
    </w:tbl>
    <w:p>
      <w:r>
        <w:br w:type="page"/>
      </w:r>
    </w:p>
    <w:p>
      <w:pPr>
        <w:pStyle w:val="Heading1"/>
      </w:pPr>
      <w:r>
        <w:t>Course and Assessment Parameters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6FEB"/>
          </w:tcPr>
          <w:p>
            <w:r>
              <w:rPr>
                <w:b/>
                <w:color w:val="FFFFFF"/>
              </w:rPr>
              <w:t>Item</w:t>
            </w:r>
          </w:p>
        </w:tc>
        <w:tc>
          <w:tcPr>
            <w:tcW w:type="dxa" w:w="5083"/>
            <w:shd w:fill="1F6FEB"/>
          </w:tcPr>
          <w:p>
            <w:r>
              <w:rPr>
                <w:b/>
                <w:color w:val="FFFFFF"/>
              </w:rPr>
              <w:t>Approved value</w:t>
            </w:r>
          </w:p>
        </w:tc>
      </w:tr>
      <w:tr>
        <w:trPr>
          <w:cantSplit/>
        </w:trPr>
        <w:tc>
          <w:tcPr>
            <w:tcW w:type="dxa" w:w="5083"/>
            <w:vAlign w:val="center"/>
            <w:shd w:fill="F5F8FC"/>
          </w:tcPr>
          <w:p>
            <w:r>
              <w:t>Course</w:t>
            </w:r>
          </w:p>
        </w:tc>
        <w:tc>
          <w:tcPr>
            <w:tcW w:type="dxa" w:w="5083"/>
            <w:vAlign w:val="center"/>
            <w:shd w:fill="F5F8FC"/>
          </w:tcPr>
          <w:p>
            <w:r>
              <w:t>AI Vibe Coding for iOS Mobile Apps Development (TGS-2023037545)</w:t>
            </w:r>
          </w:p>
        </w:tc>
      </w:tr>
      <w:tr>
        <w:trPr>
          <w:cantSplit/>
        </w:trPr>
        <w:tc>
          <w:tcPr>
            <w:tcW w:type="dxa" w:w="5083"/>
            <w:vAlign w:val="center"/>
          </w:tcPr>
          <w:p>
            <w:r>
              <w:t>TSC</w:t>
            </w:r>
          </w:p>
        </w:tc>
        <w:tc>
          <w:tcPr>
            <w:tcW w:type="dxa" w:w="5083"/>
            <w:vAlign w:val="center"/>
          </w:tcPr>
          <w:p>
            <w:r>
              <w:t>Software Design 3 · ICT-DES-3005-1.1</w:t>
            </w:r>
          </w:p>
        </w:tc>
      </w:tr>
      <w:tr>
        <w:trPr>
          <w:cantSplit/>
        </w:trPr>
        <w:tc>
          <w:tcPr>
            <w:tcW w:type="dxa" w:w="5083"/>
            <w:vAlign w:val="center"/>
            <w:shd w:fill="F5F8FC"/>
          </w:tcPr>
          <w:p>
            <w:r>
              <w:t>Duration</w:t>
            </w:r>
          </w:p>
        </w:tc>
        <w:tc>
          <w:tcPr>
            <w:tcW w:type="dxa" w:w="5083"/>
            <w:vAlign w:val="center"/>
            <w:shd w:fill="F5F8FC"/>
          </w:tcPr>
          <w:p>
            <w:r>
              <w:t>2 days · 16 contact hours</w:t>
            </w:r>
          </w:p>
        </w:tc>
      </w:tr>
      <w:tr>
        <w:trPr>
          <w:cantSplit/>
        </w:trPr>
        <w:tc>
          <w:tcPr>
            <w:tcW w:type="dxa" w:w="5083"/>
            <w:vAlign w:val="center"/>
          </w:tcPr>
          <w:p>
            <w:r>
              <w:t>Instruction</w:t>
            </w:r>
          </w:p>
        </w:tc>
        <w:tc>
          <w:tcPr>
            <w:tcW w:type="dxa" w:w="5083"/>
            <w:vAlign w:val="center"/>
          </w:tcPr>
          <w:p>
            <w:r>
              <w:t>7 hours lecture/didactic/demonstration · 7 hours practical</w:t>
            </w:r>
          </w:p>
        </w:tc>
      </w:tr>
      <w:tr>
        <w:trPr>
          <w:cantSplit/>
        </w:trPr>
        <w:tc>
          <w:tcPr>
            <w:tcW w:type="dxa" w:w="5083"/>
            <w:vAlign w:val="center"/>
            <w:shd w:fill="F5F8FC"/>
          </w:tcPr>
          <w:p>
            <w:r>
              <w:t>Assessment</w:t>
            </w:r>
          </w:p>
        </w:tc>
        <w:tc>
          <w:tcPr>
            <w:tcW w:type="dxa" w:w="5083"/>
            <w:vAlign w:val="center"/>
            <w:shd w:fill="F5F8FC"/>
          </w:tcPr>
          <w:p>
            <w:r>
              <w:t>WA (SAQ) 1 hour · PP 1 hour</w:t>
            </w:r>
          </w:p>
        </w:tc>
      </w:tr>
    </w:tbl>
    <w:p>
      <w:pPr>
        <w:pStyle w:val="Heading1"/>
      </w:pPr>
      <w:r>
        <w:t>Learning Outcomes and Slide Alignment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F6FEB"/>
          </w:tcPr>
          <w:p>
            <w:r>
              <w:rPr>
                <w:b/>
                <w:color w:val="FFFFFF"/>
              </w:rPr>
              <w:t>Outcome</w:t>
            </w:r>
          </w:p>
        </w:tc>
        <w:tc>
          <w:tcPr>
            <w:tcW w:type="dxa" w:w="3389"/>
            <w:shd w:fill="1F6FEB"/>
          </w:tcPr>
          <w:p>
            <w:r>
              <w:rPr>
                <w:b/>
                <w:color w:val="FFFFFF"/>
              </w:rPr>
              <w:t>Criteria</w:t>
            </w:r>
          </w:p>
        </w:tc>
        <w:tc>
          <w:tcPr>
            <w:tcW w:type="dxa" w:w="3389"/>
            <w:shd w:fill="1F6FEB"/>
          </w:tcPr>
          <w:p>
            <w:r>
              <w:rPr>
                <w:b/>
                <w:color w:val="FFFFFF"/>
              </w:rPr>
              <w:t>Deck slides</w:t>
            </w:r>
          </w:p>
        </w:tc>
      </w:tr>
      <w:tr>
        <w:trPr>
          <w:cantSplit/>
        </w:trPr>
        <w:tc>
          <w:tcPr>
            <w:tcW w:type="dxa" w:w="3389"/>
            <w:vAlign w:val="center"/>
            <w:shd w:fill="F5F8FC"/>
          </w:tcPr>
          <w:p>
            <w:r>
              <w:t>LO1: Determine basic software components using C++ methodologies to meet functional specifications.</w:t>
            </w:r>
          </w:p>
        </w:tc>
        <w:tc>
          <w:tcPr>
            <w:tcW w:type="dxa" w:w="3389"/>
            <w:vAlign w:val="center"/>
            <w:shd w:fill="F5F8FC"/>
          </w:tcPr>
          <w:p>
            <w:r>
              <w:t>K1, A1</w:t>
            </w:r>
          </w:p>
        </w:tc>
        <w:tc>
          <w:tcPr>
            <w:tcW w:type="dxa" w:w="3389"/>
            <w:vAlign w:val="center"/>
            <w:shd w:fill="F5F8FC"/>
          </w:tcPr>
          <w:p>
            <w:r>
              <w:t>17–60</w:t>
            </w:r>
          </w:p>
        </w:tc>
      </w:tr>
      <w:tr>
        <w:trPr>
          <w:cantSplit/>
        </w:trPr>
        <w:tc>
          <w:tcPr>
            <w:tcW w:type="dxa" w:w="3389"/>
            <w:vAlign w:val="center"/>
          </w:tcPr>
          <w:p>
            <w:r>
              <w:t>LO2: Apply C++ methodologies and tools for software creation.</w:t>
            </w:r>
          </w:p>
        </w:tc>
        <w:tc>
          <w:tcPr>
            <w:tcW w:type="dxa" w:w="3389"/>
            <w:vAlign w:val="center"/>
          </w:tcPr>
          <w:p>
            <w:r>
              <w:t>K2, A2</w:t>
            </w:r>
          </w:p>
        </w:tc>
        <w:tc>
          <w:tcPr>
            <w:tcW w:type="dxa" w:w="3389"/>
            <w:vAlign w:val="center"/>
          </w:tcPr>
          <w:p>
            <w:r>
              <w:t>61–105</w:t>
            </w:r>
          </w:p>
        </w:tc>
      </w:tr>
      <w:tr>
        <w:trPr>
          <w:cantSplit/>
        </w:trPr>
        <w:tc>
          <w:tcPr>
            <w:tcW w:type="dxa" w:w="3389"/>
            <w:vAlign w:val="center"/>
            <w:shd w:fill="F5F8FC"/>
          </w:tcPr>
          <w:p>
            <w:r>
              <w:t>LO3: Select essential C++ controls and features to meet software design requirements.</w:t>
            </w:r>
          </w:p>
        </w:tc>
        <w:tc>
          <w:tcPr>
            <w:tcW w:type="dxa" w:w="3389"/>
            <w:vAlign w:val="center"/>
            <w:shd w:fill="F5F8FC"/>
          </w:tcPr>
          <w:p>
            <w:r>
              <w:t>K3, A3</w:t>
            </w:r>
          </w:p>
        </w:tc>
        <w:tc>
          <w:tcPr>
            <w:tcW w:type="dxa" w:w="3389"/>
            <w:vAlign w:val="center"/>
            <w:shd w:fill="F5F8FC"/>
          </w:tcPr>
          <w:p>
            <w:r>
              <w:t>106–149</w:t>
            </w:r>
          </w:p>
        </w:tc>
      </w:tr>
      <w:tr>
        <w:trPr>
          <w:cantSplit/>
        </w:trPr>
        <w:tc>
          <w:tcPr>
            <w:tcW w:type="dxa" w:w="3389"/>
            <w:vAlign w:val="center"/>
          </w:tcPr>
          <w:p>
            <w:r>
              <w:t>LO4: Examine the interoperability and functionality of C++ software components.</w:t>
            </w:r>
          </w:p>
        </w:tc>
        <w:tc>
          <w:tcPr>
            <w:tcW w:type="dxa" w:w="3389"/>
            <w:vAlign w:val="center"/>
          </w:tcPr>
          <w:p>
            <w:r>
              <w:t>K4, A4</w:t>
            </w:r>
          </w:p>
        </w:tc>
        <w:tc>
          <w:tcPr>
            <w:tcW w:type="dxa" w:w="3389"/>
            <w:vAlign w:val="center"/>
          </w:tcPr>
          <w:p>
            <w:r>
              <w:t>150–194</w:t>
            </w:r>
          </w:p>
        </w:tc>
      </w:tr>
      <w:tr>
        <w:trPr>
          <w:cantSplit/>
        </w:trPr>
        <w:tc>
          <w:tcPr>
            <w:tcW w:type="dxa" w:w="3389"/>
            <w:vAlign w:val="center"/>
            <w:shd w:fill="F5F8FC"/>
          </w:tcPr>
          <w:p>
            <w:r>
              <w:t>LO5: Generate C++ design documentation aligned with user specifications.</w:t>
            </w:r>
          </w:p>
        </w:tc>
        <w:tc>
          <w:tcPr>
            <w:tcW w:type="dxa" w:w="3389"/>
            <w:vAlign w:val="center"/>
            <w:shd w:fill="F5F8FC"/>
          </w:tcPr>
          <w:p>
            <w:r>
              <w:t>K5, A5</w:t>
            </w:r>
          </w:p>
        </w:tc>
        <w:tc>
          <w:tcPr>
            <w:tcW w:type="dxa" w:w="3389"/>
            <w:vAlign w:val="center"/>
            <w:shd w:fill="F5F8FC"/>
          </w:tcPr>
          <w:p>
            <w:r>
              <w:t>195–238</w:t>
            </w:r>
          </w:p>
        </w:tc>
      </w:tr>
    </w:tbl>
    <w:p>
      <w:r>
        <w:br w:type="page"/>
      </w:r>
    </w:p>
    <w:p>
      <w:pPr>
        <w:pStyle w:val="Title"/>
      </w:pPr>
      <w:r>
        <w:t>Day 1 · Requirements, Core and Tooling</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6FEB"/>
          </w:tcPr>
          <w:p>
            <w:r>
              <w:rPr>
                <w:b/>
                <w:color w:val="FFFFFF"/>
              </w:rPr>
              <w:t>Time</w:t>
            </w:r>
          </w:p>
        </w:tc>
        <w:tc>
          <w:tcPr>
            <w:tcW w:type="dxa" w:w="2033"/>
            <w:shd w:fill="1F6FEB"/>
          </w:tcPr>
          <w:p>
            <w:r>
              <w:rPr>
                <w:b/>
                <w:color w:val="FFFFFF"/>
              </w:rPr>
              <w:t>Content</w:t>
            </w:r>
          </w:p>
        </w:tc>
        <w:tc>
          <w:tcPr>
            <w:tcW w:type="dxa" w:w="2033"/>
            <w:shd w:fill="1F6FEB"/>
          </w:tcPr>
          <w:p>
            <w:r>
              <w:rPr>
                <w:b/>
                <w:color w:val="FFFFFF"/>
              </w:rPr>
              <w:t>Method</w:t>
            </w:r>
          </w:p>
        </w:tc>
        <w:tc>
          <w:tcPr>
            <w:tcW w:type="dxa" w:w="2033"/>
            <w:shd w:fill="1F6FEB"/>
          </w:tcPr>
          <w:p>
            <w:r>
              <w:rPr>
                <w:b/>
                <w:color w:val="FFFFFF"/>
              </w:rPr>
              <w:t>Deck reference</w:t>
            </w:r>
          </w:p>
        </w:tc>
        <w:tc>
          <w:tcPr>
            <w:tcW w:type="dxa" w:w="2033"/>
            <w:shd w:fill="1F6FEB"/>
          </w:tcPr>
          <w:p>
            <w:r>
              <w:rPr>
                <w:b/>
                <w:color w:val="FFFFFF"/>
              </w:rPr>
              <w:t>Hours</w:t>
            </w:r>
          </w:p>
        </w:tc>
      </w:tr>
      <w:tr>
        <w:trPr>
          <w:cantSplit/>
        </w:trPr>
        <w:tc>
          <w:tcPr>
            <w:tcW w:type="dxa" w:w="2033"/>
            <w:vAlign w:val="center"/>
            <w:shd w:fill="F5F8FC"/>
          </w:tcPr>
          <w:p>
            <w:r>
              <w:t>09:30–11:00</w:t>
            </w:r>
          </w:p>
        </w:tc>
        <w:tc>
          <w:tcPr>
            <w:tcW w:type="dxa" w:w="2033"/>
            <w:vAlign w:val="center"/>
            <w:shd w:fill="F5F8FC"/>
          </w:tcPr>
          <w:p>
            <w:r>
              <w:t>Requirements briefing, component boundary and Activity 1</w:t>
            </w:r>
          </w:p>
        </w:tc>
        <w:tc>
          <w:tcPr>
            <w:tcW w:type="dxa" w:w="2033"/>
            <w:vAlign w:val="center"/>
            <w:shd w:fill="F5F8FC"/>
          </w:tcPr>
          <w:p>
            <w:r>
              <w:t>Facilitated analysis · demonstration · practical</w:t>
            </w:r>
          </w:p>
        </w:tc>
        <w:tc>
          <w:tcPr>
            <w:tcW w:type="dxa" w:w="2033"/>
            <w:vAlign w:val="center"/>
            <w:shd w:fill="F5F8FC"/>
          </w:tcPr>
          <w:p>
            <w:r>
              <w:t>Slides 17–55</w:t>
            </w:r>
          </w:p>
        </w:tc>
        <w:tc>
          <w:tcPr>
            <w:tcW w:type="dxa" w:w="2033"/>
            <w:vAlign w:val="center"/>
            <w:shd w:fill="F5F8FC"/>
          </w:tcPr>
          <w:p>
            <w:r>
              <w:t>1.5</w:t>
            </w:r>
          </w:p>
        </w:tc>
      </w:tr>
      <w:tr>
        <w:trPr>
          <w:cantSplit/>
        </w:trPr>
        <w:tc>
          <w:tcPr>
            <w:tcW w:type="dxa" w:w="2033"/>
            <w:vAlign w:val="center"/>
          </w:tcPr>
          <w:p>
            <w:r>
              <w:t>11:00–13:00</w:t>
            </w:r>
          </w:p>
        </w:tc>
        <w:tc>
          <w:tcPr>
            <w:tcW w:type="dxa" w:w="2033"/>
            <w:vAlign w:val="center"/>
          </w:tcPr>
          <w:p>
            <w:r>
              <w:t>Portable C++ design and Activity 2</w:t>
            </w:r>
          </w:p>
        </w:tc>
        <w:tc>
          <w:tcPr>
            <w:tcW w:type="dxa" w:w="2033"/>
            <w:vAlign w:val="center"/>
          </w:tcPr>
          <w:p>
            <w:r>
              <w:t>Demonstration · guided practical</w:t>
            </w:r>
          </w:p>
        </w:tc>
        <w:tc>
          <w:tcPr>
            <w:tcW w:type="dxa" w:w="2033"/>
            <w:vAlign w:val="center"/>
          </w:tcPr>
          <w:p>
            <w:r>
              <w:t>Slides 56–59</w:t>
            </w:r>
          </w:p>
        </w:tc>
        <w:tc>
          <w:tcPr>
            <w:tcW w:type="dxa" w:w="2033"/>
            <w:vAlign w:val="center"/>
          </w:tcPr>
          <w:p>
            <w:r>
              <w:t>2.0</w:t>
            </w:r>
          </w:p>
        </w:tc>
      </w:tr>
      <w:tr>
        <w:trPr>
          <w:cantSplit/>
        </w:trPr>
        <w:tc>
          <w:tcPr>
            <w:tcW w:type="dxa" w:w="2033"/>
            <w:vAlign w:val="center"/>
            <w:shd w:fill="F5F8FC"/>
          </w:tcPr>
          <w:p>
            <w:r>
              <w:t>13:00–14:00</w:t>
            </w:r>
          </w:p>
        </w:tc>
        <w:tc>
          <w:tcPr>
            <w:tcW w:type="dxa" w:w="2033"/>
            <w:vAlign w:val="center"/>
            <w:shd w:fill="F5F8FC"/>
          </w:tcPr>
          <w:p>
            <w:r>
              <w:t>Lunch</w:t>
            </w:r>
          </w:p>
        </w:tc>
        <w:tc>
          <w:tcPr>
            <w:tcW w:type="dxa" w:w="2033"/>
            <w:vAlign w:val="center"/>
            <w:shd w:fill="F5F8FC"/>
          </w:tcPr>
          <w:p>
            <w:r>
              <w:t>—</w:t>
            </w:r>
          </w:p>
        </w:tc>
        <w:tc>
          <w:tcPr>
            <w:tcW w:type="dxa" w:w="2033"/>
            <w:vAlign w:val="center"/>
            <w:shd w:fill="F5F8FC"/>
          </w:tcPr>
          <w:p>
            <w:r>
              <w:t>—</w:t>
            </w:r>
          </w:p>
        </w:tc>
        <w:tc>
          <w:tcPr>
            <w:tcW w:type="dxa" w:w="2033"/>
            <w:vAlign w:val="center"/>
            <w:shd w:fill="F5F8FC"/>
          </w:tcPr>
          <w:p>
            <w:r>
              <w:t>0</w:t>
            </w:r>
          </w:p>
        </w:tc>
      </w:tr>
      <w:tr>
        <w:trPr>
          <w:cantSplit/>
        </w:trPr>
        <w:tc>
          <w:tcPr>
            <w:tcW w:type="dxa" w:w="2033"/>
            <w:vAlign w:val="center"/>
          </w:tcPr>
          <w:p>
            <w:r>
              <w:t>14:00–16:00</w:t>
            </w:r>
          </w:p>
        </w:tc>
        <w:tc>
          <w:tcPr>
            <w:tcW w:type="dxa" w:w="2033"/>
            <w:vAlign w:val="center"/>
          </w:tcPr>
          <w:p>
            <w:r>
              <w:t>C++ methods, CMake and AI-assisted TDD</w:t>
            </w:r>
          </w:p>
        </w:tc>
        <w:tc>
          <w:tcPr>
            <w:tcW w:type="dxa" w:w="2033"/>
            <w:vAlign w:val="center"/>
          </w:tcPr>
          <w:p>
            <w:r>
              <w:t>Lecture · demonstration · questioning</w:t>
            </w:r>
          </w:p>
        </w:tc>
        <w:tc>
          <w:tcPr>
            <w:tcW w:type="dxa" w:w="2033"/>
            <w:vAlign w:val="center"/>
          </w:tcPr>
          <w:p>
            <w:r>
              <w:t>Slides 61–96</w:t>
            </w:r>
          </w:p>
        </w:tc>
        <w:tc>
          <w:tcPr>
            <w:tcW w:type="dxa" w:w="2033"/>
            <w:vAlign w:val="center"/>
          </w:tcPr>
          <w:p>
            <w:r>
              <w:t>2.0</w:t>
            </w:r>
          </w:p>
        </w:tc>
      </w:tr>
      <w:tr>
        <w:trPr>
          <w:cantSplit/>
        </w:trPr>
        <w:tc>
          <w:tcPr>
            <w:tcW w:type="dxa" w:w="2033"/>
            <w:vAlign w:val="center"/>
            <w:shd w:fill="F5F8FC"/>
          </w:tcPr>
          <w:p>
            <w:r>
              <w:t>16:00–17:15</w:t>
            </w:r>
          </w:p>
        </w:tc>
        <w:tc>
          <w:tcPr>
            <w:tcW w:type="dxa" w:w="2033"/>
            <w:vAlign w:val="center"/>
            <w:shd w:fill="F5F8FC"/>
          </w:tcPr>
          <w:p>
            <w:r>
              <w:t>Activity 3: AI-Assisted TDD</w:t>
            </w:r>
          </w:p>
        </w:tc>
        <w:tc>
          <w:tcPr>
            <w:tcW w:type="dxa" w:w="2033"/>
            <w:vAlign w:val="center"/>
            <w:shd w:fill="F5F8FC"/>
          </w:tcPr>
          <w:p>
            <w:r>
              <w:t>Practical · peer review</w:t>
            </w:r>
          </w:p>
        </w:tc>
        <w:tc>
          <w:tcPr>
            <w:tcW w:type="dxa" w:w="2033"/>
            <w:vAlign w:val="center"/>
            <w:shd w:fill="F5F8FC"/>
          </w:tcPr>
          <w:p>
            <w:r>
              <w:t>Slides 97–100</w:t>
            </w:r>
          </w:p>
        </w:tc>
        <w:tc>
          <w:tcPr>
            <w:tcW w:type="dxa" w:w="2033"/>
            <w:vAlign w:val="center"/>
            <w:shd w:fill="F5F8FC"/>
          </w:tcPr>
          <w:p>
            <w:r>
              <w:t>1.25</w:t>
            </w:r>
          </w:p>
        </w:tc>
      </w:tr>
      <w:tr>
        <w:trPr>
          <w:cantSplit/>
        </w:trPr>
        <w:tc>
          <w:tcPr>
            <w:tcW w:type="dxa" w:w="2033"/>
            <w:vAlign w:val="center"/>
          </w:tcPr>
          <w:p>
            <w:r>
              <w:t>17:15–18:30</w:t>
            </w:r>
          </w:p>
        </w:tc>
        <w:tc>
          <w:tcPr>
            <w:tcW w:type="dxa" w:w="2033"/>
            <w:vAlign w:val="center"/>
          </w:tcPr>
          <w:p>
            <w:r>
              <w:t>Activity 4: Toolchain and Quality Gates · Day review</w:t>
            </w:r>
          </w:p>
        </w:tc>
        <w:tc>
          <w:tcPr>
            <w:tcW w:type="dxa" w:w="2033"/>
            <w:vAlign w:val="center"/>
          </w:tcPr>
          <w:p>
            <w:r>
              <w:t>Practical · retrieval practice</w:t>
            </w:r>
          </w:p>
        </w:tc>
        <w:tc>
          <w:tcPr>
            <w:tcW w:type="dxa" w:w="2033"/>
            <w:vAlign w:val="center"/>
          </w:tcPr>
          <w:p>
            <w:r>
              <w:t>Slides 101–104</w:t>
            </w:r>
          </w:p>
        </w:tc>
        <w:tc>
          <w:tcPr>
            <w:tcW w:type="dxa" w:w="2033"/>
            <w:vAlign w:val="center"/>
          </w:tcPr>
          <w:p>
            <w:r>
              <w:t>1.25</w:t>
            </w:r>
          </w:p>
        </w:tc>
      </w:tr>
    </w:tbl>
    <w:p>
      <w:r>
        <w:rPr>
          <w:b/>
        </w:rPr>
        <w:t>Day 1 contact total: 8.0 hours.</w:t>
      </w:r>
    </w:p>
    <w:p>
      <w:r>
        <w:br w:type="page"/>
      </w:r>
    </w:p>
    <w:p>
      <w:pPr>
        <w:pStyle w:val="Title"/>
      </w:pPr>
      <w:r>
        <w:t>Day 2 · Shell, Interoperability and Evidence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6FEB"/>
          </w:tcPr>
          <w:p>
            <w:r>
              <w:rPr>
                <w:b/>
                <w:color w:val="FFFFFF"/>
              </w:rPr>
              <w:t>Time</w:t>
            </w:r>
          </w:p>
        </w:tc>
        <w:tc>
          <w:tcPr>
            <w:tcW w:type="dxa" w:w="2033"/>
            <w:shd w:fill="1F6FEB"/>
          </w:tcPr>
          <w:p>
            <w:r>
              <w:rPr>
                <w:b/>
                <w:color w:val="FFFFFF"/>
              </w:rPr>
              <w:t>Content</w:t>
            </w:r>
          </w:p>
        </w:tc>
        <w:tc>
          <w:tcPr>
            <w:tcW w:type="dxa" w:w="2033"/>
            <w:shd w:fill="1F6FEB"/>
          </w:tcPr>
          <w:p>
            <w:r>
              <w:rPr>
                <w:b/>
                <w:color w:val="FFFFFF"/>
              </w:rPr>
              <w:t>Method</w:t>
            </w:r>
          </w:p>
        </w:tc>
        <w:tc>
          <w:tcPr>
            <w:tcW w:type="dxa" w:w="2033"/>
            <w:shd w:fill="1F6FEB"/>
          </w:tcPr>
          <w:p>
            <w:r>
              <w:rPr>
                <w:b/>
                <w:color w:val="FFFFFF"/>
              </w:rPr>
              <w:t>Deck reference</w:t>
            </w:r>
          </w:p>
        </w:tc>
        <w:tc>
          <w:tcPr>
            <w:tcW w:type="dxa" w:w="2033"/>
            <w:shd w:fill="1F6FEB"/>
          </w:tcPr>
          <w:p>
            <w:r>
              <w:rPr>
                <w:b/>
                <w:color w:val="FFFFFF"/>
              </w:rPr>
              <w:t>Hours</w:t>
            </w:r>
          </w:p>
        </w:tc>
      </w:tr>
      <w:tr>
        <w:trPr>
          <w:cantSplit/>
        </w:trPr>
        <w:tc>
          <w:tcPr>
            <w:tcW w:type="dxa" w:w="2033"/>
            <w:vAlign w:val="center"/>
            <w:shd w:fill="F5F8FC"/>
          </w:tcPr>
          <w:p>
            <w:r>
              <w:t>09:30–11:15</w:t>
            </w:r>
          </w:p>
        </w:tc>
        <w:tc>
          <w:tcPr>
            <w:tcW w:type="dxa" w:w="2033"/>
            <w:vAlign w:val="center"/>
            <w:shd w:fill="F5F8FC"/>
          </w:tcPr>
          <w:p>
            <w:r>
              <w:t>SwiftUI controls, state and Objective-C++ boundary</w:t>
            </w:r>
          </w:p>
        </w:tc>
        <w:tc>
          <w:tcPr>
            <w:tcW w:type="dxa" w:w="2033"/>
            <w:vAlign w:val="center"/>
            <w:shd w:fill="F5F8FC"/>
          </w:tcPr>
          <w:p>
            <w:r>
              <w:t>Lecture · demonstration</w:t>
            </w:r>
          </w:p>
        </w:tc>
        <w:tc>
          <w:tcPr>
            <w:tcW w:type="dxa" w:w="2033"/>
            <w:vAlign w:val="center"/>
            <w:shd w:fill="F5F8FC"/>
          </w:tcPr>
          <w:p>
            <w:r>
              <w:t>Slides 106–140</w:t>
            </w:r>
          </w:p>
        </w:tc>
        <w:tc>
          <w:tcPr>
            <w:tcW w:type="dxa" w:w="2033"/>
            <w:vAlign w:val="center"/>
            <w:shd w:fill="F5F8FC"/>
          </w:tcPr>
          <w:p>
            <w:r>
              <w:t>1.75</w:t>
            </w:r>
          </w:p>
        </w:tc>
      </w:tr>
      <w:tr>
        <w:trPr>
          <w:cantSplit/>
        </w:trPr>
        <w:tc>
          <w:tcPr>
            <w:tcW w:type="dxa" w:w="2033"/>
            <w:vAlign w:val="center"/>
          </w:tcPr>
          <w:p>
            <w:r>
              <w:t>11:15–13:00</w:t>
            </w:r>
          </w:p>
        </w:tc>
        <w:tc>
          <w:tcPr>
            <w:tcW w:type="dxa" w:w="2033"/>
            <w:vAlign w:val="center"/>
          </w:tcPr>
          <w:p>
            <w:r>
              <w:t>Activities 5–6: Adapter and SwiftUI controls</w:t>
            </w:r>
          </w:p>
        </w:tc>
        <w:tc>
          <w:tcPr>
            <w:tcW w:type="dxa" w:w="2033"/>
            <w:vAlign w:val="center"/>
          </w:tcPr>
          <w:p>
            <w:r>
              <w:t>Guided practical</w:t>
            </w:r>
          </w:p>
        </w:tc>
        <w:tc>
          <w:tcPr>
            <w:tcW w:type="dxa" w:w="2033"/>
            <w:vAlign w:val="center"/>
          </w:tcPr>
          <w:p>
            <w:r>
              <w:t>Slides 141–148</w:t>
            </w:r>
          </w:p>
        </w:tc>
        <w:tc>
          <w:tcPr>
            <w:tcW w:type="dxa" w:w="2033"/>
            <w:vAlign w:val="center"/>
          </w:tcPr>
          <w:p>
            <w:r>
              <w:t>1.75</w:t>
            </w:r>
          </w:p>
        </w:tc>
      </w:tr>
      <w:tr>
        <w:trPr>
          <w:cantSplit/>
        </w:trPr>
        <w:tc>
          <w:tcPr>
            <w:tcW w:type="dxa" w:w="2033"/>
            <w:vAlign w:val="center"/>
            <w:shd w:fill="F5F8FC"/>
          </w:tcPr>
          <w:p>
            <w:r>
              <w:t>13:00–14:00</w:t>
            </w:r>
          </w:p>
        </w:tc>
        <w:tc>
          <w:tcPr>
            <w:tcW w:type="dxa" w:w="2033"/>
            <w:vAlign w:val="center"/>
            <w:shd w:fill="F5F8FC"/>
          </w:tcPr>
          <w:p>
            <w:r>
              <w:t>Lunch</w:t>
            </w:r>
          </w:p>
        </w:tc>
        <w:tc>
          <w:tcPr>
            <w:tcW w:type="dxa" w:w="2033"/>
            <w:vAlign w:val="center"/>
            <w:shd w:fill="F5F8FC"/>
          </w:tcPr>
          <w:p>
            <w:r>
              <w:t>—</w:t>
            </w:r>
          </w:p>
        </w:tc>
        <w:tc>
          <w:tcPr>
            <w:tcW w:type="dxa" w:w="2033"/>
            <w:vAlign w:val="center"/>
            <w:shd w:fill="F5F8FC"/>
          </w:tcPr>
          <w:p>
            <w:r>
              <w:t>—</w:t>
            </w:r>
          </w:p>
        </w:tc>
        <w:tc>
          <w:tcPr>
            <w:tcW w:type="dxa" w:w="2033"/>
            <w:vAlign w:val="center"/>
            <w:shd w:fill="F5F8FC"/>
          </w:tcPr>
          <w:p>
            <w:r>
              <w:t>0</w:t>
            </w:r>
          </w:p>
        </w:tc>
      </w:tr>
      <w:tr>
        <w:trPr>
          <w:cantSplit/>
        </w:trPr>
        <w:tc>
          <w:tcPr>
            <w:tcW w:type="dxa" w:w="2033"/>
            <w:vAlign w:val="center"/>
          </w:tcPr>
          <w:p>
            <w:r>
              <w:t>14:00–15:20</w:t>
            </w:r>
          </w:p>
        </w:tc>
        <w:tc>
          <w:tcPr>
            <w:tcW w:type="dxa" w:w="2033"/>
            <w:vAlign w:val="center"/>
          </w:tcPr>
          <w:p>
            <w:r>
              <w:t>Activities 7–8: Persistence and interoperability evidence</w:t>
            </w:r>
          </w:p>
        </w:tc>
        <w:tc>
          <w:tcPr>
            <w:tcW w:type="dxa" w:w="2033"/>
            <w:vAlign w:val="center"/>
          </w:tcPr>
          <w:p>
            <w:r>
              <w:t>Practical · assessment of evidence</w:t>
            </w:r>
          </w:p>
        </w:tc>
        <w:tc>
          <w:tcPr>
            <w:tcW w:type="dxa" w:w="2033"/>
            <w:vAlign w:val="center"/>
          </w:tcPr>
          <w:p>
            <w:r>
              <w:t>Slides 186–193</w:t>
            </w:r>
          </w:p>
        </w:tc>
        <w:tc>
          <w:tcPr>
            <w:tcW w:type="dxa" w:w="2033"/>
            <w:vAlign w:val="center"/>
          </w:tcPr>
          <w:p>
            <w:r>
              <w:t>1.33</w:t>
            </w:r>
          </w:p>
        </w:tc>
      </w:tr>
      <w:tr>
        <w:trPr>
          <w:cantSplit/>
        </w:trPr>
        <w:tc>
          <w:tcPr>
            <w:tcW w:type="dxa" w:w="2033"/>
            <w:vAlign w:val="center"/>
            <w:shd w:fill="F5F8FC"/>
          </w:tcPr>
          <w:p>
            <w:r>
              <w:t>15:20–16:30</w:t>
            </w:r>
          </w:p>
        </w:tc>
        <w:tc>
          <w:tcPr>
            <w:tcW w:type="dxa" w:w="2033"/>
            <w:vAlign w:val="center"/>
            <w:shd w:fill="F5F8FC"/>
          </w:tcPr>
          <w:p>
            <w:r>
              <w:t>Activities 9–10: Documentation and capstone evidence</w:t>
            </w:r>
          </w:p>
        </w:tc>
        <w:tc>
          <w:tcPr>
            <w:tcW w:type="dxa" w:w="2033"/>
            <w:vAlign w:val="center"/>
            <w:shd w:fill="F5F8FC"/>
          </w:tcPr>
          <w:p>
            <w:r>
              <w:t>Practical · facilitated review</w:t>
            </w:r>
          </w:p>
        </w:tc>
        <w:tc>
          <w:tcPr>
            <w:tcW w:type="dxa" w:w="2033"/>
            <w:vAlign w:val="center"/>
            <w:shd w:fill="F5F8FC"/>
          </w:tcPr>
          <w:p>
            <w:r>
              <w:t>Slides 230–237</w:t>
            </w:r>
          </w:p>
        </w:tc>
        <w:tc>
          <w:tcPr>
            <w:tcW w:type="dxa" w:w="2033"/>
            <w:vAlign w:val="center"/>
            <w:shd w:fill="F5F8FC"/>
          </w:tcPr>
          <w:p>
            <w:r>
              <w:t>1.17</w:t>
            </w:r>
          </w:p>
        </w:tc>
      </w:tr>
      <w:tr>
        <w:trPr>
          <w:cantSplit/>
        </w:trPr>
        <w:tc>
          <w:tcPr>
            <w:tcW w:type="dxa" w:w="2033"/>
            <w:vAlign w:val="center"/>
          </w:tcPr>
          <w:p>
            <w:r>
              <w:t>16:30–17:30</w:t>
            </w:r>
          </w:p>
        </w:tc>
        <w:tc>
          <w:tcPr>
            <w:tcW w:type="dxa" w:w="2033"/>
            <w:vAlign w:val="center"/>
          </w:tcPr>
          <w:p>
            <w:r>
              <w:t>Written Assessment (SAQ)</w:t>
            </w:r>
          </w:p>
        </w:tc>
        <w:tc>
          <w:tcPr>
            <w:tcW w:type="dxa" w:w="2033"/>
            <w:vAlign w:val="center"/>
          </w:tcPr>
          <w:p>
            <w:r>
              <w:t>Individual assessment</w:t>
            </w:r>
          </w:p>
        </w:tc>
        <w:tc>
          <w:tcPr>
            <w:tcW w:type="dxa" w:w="2033"/>
            <w:vAlign w:val="center"/>
          </w:tcPr>
          <w:p>
            <w:r>
              <w:t>Closing administration slides 240–243</w:t>
            </w:r>
          </w:p>
        </w:tc>
        <w:tc>
          <w:tcPr>
            <w:tcW w:type="dxa" w:w="2033"/>
            <w:vAlign w:val="center"/>
          </w:tcPr>
          <w:p>
            <w:r>
              <w:t>1.0</w:t>
            </w:r>
          </w:p>
        </w:tc>
      </w:tr>
      <w:tr>
        <w:trPr>
          <w:cantSplit/>
        </w:trPr>
        <w:tc>
          <w:tcPr>
            <w:tcW w:type="dxa" w:w="2033"/>
            <w:vAlign w:val="center"/>
            <w:shd w:fill="F5F8FC"/>
          </w:tcPr>
          <w:p>
            <w:r>
              <w:t>17:30–18:30</w:t>
            </w:r>
          </w:p>
        </w:tc>
        <w:tc>
          <w:tcPr>
            <w:tcW w:type="dxa" w:w="2033"/>
            <w:vAlign w:val="center"/>
            <w:shd w:fill="F5F8FC"/>
          </w:tcPr>
          <w:p>
            <w:r>
              <w:t>Practical Performance</w:t>
            </w:r>
          </w:p>
        </w:tc>
        <w:tc>
          <w:tcPr>
            <w:tcW w:type="dxa" w:w="2033"/>
            <w:vAlign w:val="center"/>
            <w:shd w:fill="F5F8FC"/>
          </w:tcPr>
          <w:p>
            <w:r>
              <w:t>Individual assessment</w:t>
            </w:r>
          </w:p>
        </w:tc>
        <w:tc>
          <w:tcPr>
            <w:tcW w:type="dxa" w:w="2033"/>
            <w:vAlign w:val="center"/>
            <w:shd w:fill="F5F8FC"/>
          </w:tcPr>
          <w:p>
            <w:r>
              <w:t>Assessment papers and Activity evidence</w:t>
            </w:r>
          </w:p>
        </w:tc>
        <w:tc>
          <w:tcPr>
            <w:tcW w:type="dxa" w:w="2033"/>
            <w:vAlign w:val="center"/>
            <w:shd w:fill="F5F8FC"/>
          </w:tcPr>
          <w:p>
            <w:r>
              <w:t>1.0</w:t>
            </w:r>
          </w:p>
        </w:tc>
      </w:tr>
    </w:tbl>
    <w:p>
      <w:r>
        <w:rPr>
          <w:b/>
        </w:rPr>
        <w:t>Day 2 contact total: 8.0 hours. Course total: 16.0 hours, comprising 14 training hours and 2 assessment hours.</w:t>
      </w:r>
    </w:p>
    <w:p>
      <w:pPr>
        <w:pStyle w:val="Heading1"/>
      </w:pPr>
      <w:r>
        <w:t>Activity Alignment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F6FEB"/>
          </w:tcPr>
          <w:p>
            <w:r>
              <w:rPr>
                <w:b/>
                <w:color w:val="FFFFFF"/>
              </w:rPr>
              <w:t>Activity</w:t>
            </w:r>
          </w:p>
        </w:tc>
        <w:tc>
          <w:tcPr>
            <w:tcW w:type="dxa" w:w="2541"/>
            <w:shd w:fill="1F6FEB"/>
          </w:tcPr>
          <w:p>
            <w:r>
              <w:rPr>
                <w:b/>
                <w:color w:val="FFFFFF"/>
              </w:rPr>
              <w:t>Mapping</w:t>
            </w:r>
          </w:p>
        </w:tc>
        <w:tc>
          <w:tcPr>
            <w:tcW w:type="dxa" w:w="2541"/>
            <w:shd w:fill="1F6FEB"/>
          </w:tcPr>
          <w:p>
            <w:r>
              <w:rPr>
                <w:b/>
                <w:color w:val="FFFFFF"/>
              </w:rPr>
              <w:t>Slides</w:t>
            </w:r>
          </w:p>
        </w:tc>
        <w:tc>
          <w:tcPr>
            <w:tcW w:type="dxa" w:w="2541"/>
            <w:shd w:fill="1F6FEB"/>
          </w:tcPr>
          <w:p>
            <w:r>
              <w:rPr>
                <w:b/>
                <w:color w:val="FFFFFF"/>
              </w:rPr>
              <w:t>Output</w:t>
            </w:r>
          </w:p>
        </w:tc>
      </w:tr>
      <w:tr>
        <w:trPr>
          <w:cantSplit/>
        </w:trPr>
        <w:tc>
          <w:tcPr>
            <w:tcW w:type="dxa" w:w="2541"/>
            <w:vAlign w:val="center"/>
            <w:shd w:fill="F5F8FC"/>
          </w:tcPr>
          <w:p>
            <w:r>
              <w:t>Activity 1: Requirements and Component Boundary</w:t>
            </w:r>
          </w:p>
        </w:tc>
        <w:tc>
          <w:tcPr>
            <w:tcW w:type="dxa" w:w="2541"/>
            <w:vAlign w:val="center"/>
            <w:shd w:fill="F5F8FC"/>
          </w:tcPr>
          <w:p>
            <w:r>
              <w:t>K1, A1</w:t>
            </w:r>
          </w:p>
        </w:tc>
        <w:tc>
          <w:tcPr>
            <w:tcW w:type="dxa" w:w="2541"/>
            <w:vAlign w:val="center"/>
            <w:shd w:fill="F5F8FC"/>
          </w:tcPr>
          <w:p>
            <w:r>
              <w:t>52–55</w:t>
            </w:r>
          </w:p>
        </w:tc>
        <w:tc>
          <w:tcPr>
            <w:tcW w:type="dxa" w:w="2541"/>
            <w:vAlign w:val="center"/>
            <w:shd w:fill="F5F8FC"/>
          </w:tcPr>
          <w:p>
            <w:r>
              <w:t>Requirement matrix, boundary diagram and acceptance criteria</w:t>
            </w:r>
          </w:p>
        </w:tc>
      </w:tr>
      <w:tr>
        <w:trPr>
          <w:cantSplit/>
        </w:trPr>
        <w:tc>
          <w:tcPr>
            <w:tcW w:type="dxa" w:w="2541"/>
            <w:vAlign w:val="center"/>
          </w:tcPr>
          <w:p>
            <w:r>
              <w:t>Activity 2: Portable C++ Domain Core</w:t>
            </w:r>
          </w:p>
        </w:tc>
        <w:tc>
          <w:tcPr>
            <w:tcW w:type="dxa" w:w="2541"/>
            <w:vAlign w:val="center"/>
          </w:tcPr>
          <w:p>
            <w:r>
              <w:t>K1, A1</w:t>
            </w:r>
          </w:p>
        </w:tc>
        <w:tc>
          <w:tcPr>
            <w:tcW w:type="dxa" w:w="2541"/>
            <w:vAlign w:val="center"/>
          </w:tcPr>
          <w:p>
            <w:r>
              <w:t>56–59</w:t>
            </w:r>
          </w:p>
        </w:tc>
        <w:tc>
          <w:tcPr>
            <w:tcW w:type="dxa" w:w="2541"/>
            <w:vAlign w:val="center"/>
          </w:tcPr>
          <w:p>
            <w:r>
              <w:t>Compiling C++20 library and domain tests</w:t>
            </w:r>
          </w:p>
        </w:tc>
      </w:tr>
      <w:tr>
        <w:trPr>
          <w:cantSplit/>
        </w:trPr>
        <w:tc>
          <w:tcPr>
            <w:tcW w:type="dxa" w:w="2541"/>
            <w:vAlign w:val="center"/>
            <w:shd w:fill="F5F8FC"/>
          </w:tcPr>
          <w:p>
            <w:r>
              <w:t>Activity 3: AI-Assisted TDD for C++</w:t>
            </w:r>
          </w:p>
        </w:tc>
        <w:tc>
          <w:tcPr>
            <w:tcW w:type="dxa" w:w="2541"/>
            <w:vAlign w:val="center"/>
            <w:shd w:fill="F5F8FC"/>
          </w:tcPr>
          <w:p>
            <w:r>
              <w:t>K2, A2</w:t>
            </w:r>
          </w:p>
        </w:tc>
        <w:tc>
          <w:tcPr>
            <w:tcW w:type="dxa" w:w="2541"/>
            <w:vAlign w:val="center"/>
            <w:shd w:fill="F5F8FC"/>
          </w:tcPr>
          <w:p>
            <w:r>
              <w:t>97–100</w:t>
            </w:r>
          </w:p>
        </w:tc>
        <w:tc>
          <w:tcPr>
            <w:tcW w:type="dxa" w:w="2541"/>
            <w:vAlign w:val="center"/>
            <w:shd w:fill="F5F8FC"/>
          </w:tcPr>
          <w:p>
            <w:r>
              <w:t>Prompt contract, failing trace, minimal patch and passing trace</w:t>
            </w:r>
          </w:p>
        </w:tc>
      </w:tr>
      <w:tr>
        <w:trPr>
          <w:cantSplit/>
        </w:trPr>
        <w:tc>
          <w:tcPr>
            <w:tcW w:type="dxa" w:w="2541"/>
            <w:vAlign w:val="center"/>
          </w:tcPr>
          <w:p>
            <w:r>
              <w:t>Activity 4: Toolchain and Quality Gates</w:t>
            </w:r>
          </w:p>
        </w:tc>
        <w:tc>
          <w:tcPr>
            <w:tcW w:type="dxa" w:w="2541"/>
            <w:vAlign w:val="center"/>
          </w:tcPr>
          <w:p>
            <w:r>
              <w:t>K2, A2</w:t>
            </w:r>
          </w:p>
        </w:tc>
        <w:tc>
          <w:tcPr>
            <w:tcW w:type="dxa" w:w="2541"/>
            <w:vAlign w:val="center"/>
          </w:tcPr>
          <w:p>
            <w:r>
              <w:t>101–104</w:t>
            </w:r>
          </w:p>
        </w:tc>
        <w:tc>
          <w:tcPr>
            <w:tcW w:type="dxa" w:w="2541"/>
            <w:vAlign w:val="center"/>
          </w:tcPr>
          <w:p>
            <w:r>
              <w:t>Warning-clean build, quality script and evidence log</w:t>
            </w:r>
          </w:p>
        </w:tc>
      </w:tr>
      <w:tr>
        <w:trPr>
          <w:cantSplit/>
        </w:trPr>
        <w:tc>
          <w:tcPr>
            <w:tcW w:type="dxa" w:w="2541"/>
            <w:vAlign w:val="center"/>
            <w:shd w:fill="F5F8FC"/>
          </w:tcPr>
          <w:p>
            <w:r>
              <w:t>Activity 5: Objective-C++ Adapter</w:t>
            </w:r>
          </w:p>
        </w:tc>
        <w:tc>
          <w:tcPr>
            <w:tcW w:type="dxa" w:w="2541"/>
            <w:vAlign w:val="center"/>
            <w:shd w:fill="F5F8FC"/>
          </w:tcPr>
          <w:p>
            <w:r>
              <w:t>K3, A3</w:t>
            </w:r>
          </w:p>
        </w:tc>
        <w:tc>
          <w:tcPr>
            <w:tcW w:type="dxa" w:w="2541"/>
            <w:vAlign w:val="center"/>
            <w:shd w:fill="F5F8FC"/>
          </w:tcPr>
          <w:p>
            <w:r>
              <w:t>141–144</w:t>
            </w:r>
          </w:p>
        </w:tc>
        <w:tc>
          <w:tcPr>
            <w:tcW w:type="dxa" w:w="2541"/>
            <w:vAlign w:val="center"/>
            <w:shd w:fill="F5F8FC"/>
          </w:tcPr>
          <w:p>
            <w:r>
              <w:t>Bridge header, .mm adapter and round-trip test</w:t>
            </w:r>
          </w:p>
        </w:tc>
      </w:tr>
      <w:tr>
        <w:trPr>
          <w:cantSplit/>
        </w:trPr>
        <w:tc>
          <w:tcPr>
            <w:tcW w:type="dxa" w:w="2541"/>
            <w:vAlign w:val="center"/>
          </w:tcPr>
          <w:p>
            <w:r>
              <w:t>Activity 6: SwiftUI Controls and State</w:t>
            </w:r>
          </w:p>
        </w:tc>
        <w:tc>
          <w:tcPr>
            <w:tcW w:type="dxa" w:w="2541"/>
            <w:vAlign w:val="center"/>
          </w:tcPr>
          <w:p>
            <w:r>
              <w:t>K3, A3</w:t>
            </w:r>
          </w:p>
        </w:tc>
        <w:tc>
          <w:tcPr>
            <w:tcW w:type="dxa" w:w="2541"/>
            <w:vAlign w:val="center"/>
          </w:tcPr>
          <w:p>
            <w:r>
              <w:t>145–148</w:t>
            </w:r>
          </w:p>
        </w:tc>
        <w:tc>
          <w:tcPr>
            <w:tcW w:type="dxa" w:w="2541"/>
            <w:vAlign w:val="center"/>
          </w:tcPr>
          <w:p>
            <w:r>
              <w:t>SwiftUI entry flow, deterministic previews and validation states</w:t>
            </w:r>
          </w:p>
        </w:tc>
      </w:tr>
      <w:tr>
        <w:trPr>
          <w:cantSplit/>
        </w:trPr>
        <w:tc>
          <w:tcPr>
            <w:tcW w:type="dxa" w:w="2541"/>
            <w:vAlign w:val="center"/>
            <w:shd w:fill="F5F8FC"/>
          </w:tcPr>
          <w:p>
            <w:r>
              <w:t>Activity 7: Persistence and Error Recovery</w:t>
            </w:r>
          </w:p>
        </w:tc>
        <w:tc>
          <w:tcPr>
            <w:tcW w:type="dxa" w:w="2541"/>
            <w:vAlign w:val="center"/>
            <w:shd w:fill="F5F8FC"/>
          </w:tcPr>
          <w:p>
            <w:r>
              <w:t>K4, A4</w:t>
            </w:r>
          </w:p>
        </w:tc>
        <w:tc>
          <w:tcPr>
            <w:tcW w:type="dxa" w:w="2541"/>
            <w:vAlign w:val="center"/>
            <w:shd w:fill="F5F8FC"/>
          </w:tcPr>
          <w:p>
            <w:r>
              <w:t>186–189</w:t>
            </w:r>
          </w:p>
        </w:tc>
        <w:tc>
          <w:tcPr>
            <w:tcW w:type="dxa" w:w="2541"/>
            <w:vAlign w:val="center"/>
            <w:shd w:fill="F5F8FC"/>
          </w:tcPr>
          <w:p>
            <w:r>
              <w:t>Versioned JSON repository, migration fixture and recovery tests</w:t>
            </w:r>
          </w:p>
        </w:tc>
      </w:tr>
      <w:tr>
        <w:trPr>
          <w:cantSplit/>
        </w:trPr>
        <w:tc>
          <w:tcPr>
            <w:tcW w:type="dxa" w:w="2541"/>
            <w:vAlign w:val="center"/>
          </w:tcPr>
          <w:p>
            <w:r>
              <w:t>Activity 8: Interoperability Validation Scorecard</w:t>
            </w:r>
          </w:p>
        </w:tc>
        <w:tc>
          <w:tcPr>
            <w:tcW w:type="dxa" w:w="2541"/>
            <w:vAlign w:val="center"/>
          </w:tcPr>
          <w:p>
            <w:r>
              <w:t>K4, A4</w:t>
            </w:r>
          </w:p>
        </w:tc>
        <w:tc>
          <w:tcPr>
            <w:tcW w:type="dxa" w:w="2541"/>
            <w:vAlign w:val="center"/>
          </w:tcPr>
          <w:p>
            <w:r>
              <w:t>190–193</w:t>
            </w:r>
          </w:p>
        </w:tc>
        <w:tc>
          <w:tcPr>
            <w:tcW w:type="dxa" w:w="2541"/>
            <w:vAlign w:val="center"/>
          </w:tcPr>
          <w:p>
            <w:r>
              <w:t>Test matrix, execution evidence and release scorecard</w:t>
            </w:r>
          </w:p>
        </w:tc>
      </w:tr>
      <w:tr>
        <w:trPr>
          <w:cantSplit/>
        </w:trPr>
        <w:tc>
          <w:tcPr>
            <w:tcW w:type="dxa" w:w="2541"/>
            <w:vAlign w:val="center"/>
            <w:shd w:fill="F5F8FC"/>
          </w:tcPr>
          <w:p>
            <w:r>
              <w:t>Activity 9: Architecture and Traceability Documentation</w:t>
            </w:r>
          </w:p>
        </w:tc>
        <w:tc>
          <w:tcPr>
            <w:tcW w:type="dxa" w:w="2541"/>
            <w:vAlign w:val="center"/>
            <w:shd w:fill="F5F8FC"/>
          </w:tcPr>
          <w:p>
            <w:r>
              <w:t>K5, A5</w:t>
            </w:r>
          </w:p>
        </w:tc>
        <w:tc>
          <w:tcPr>
            <w:tcW w:type="dxa" w:w="2541"/>
            <w:vAlign w:val="center"/>
            <w:shd w:fill="F5F8FC"/>
          </w:tcPr>
          <w:p>
            <w:r>
              <w:t>230–233</w:t>
            </w:r>
          </w:p>
        </w:tc>
        <w:tc>
          <w:tcPr>
            <w:tcW w:type="dxa" w:w="2541"/>
            <w:vAlign w:val="center"/>
            <w:shd w:fill="F5F8FC"/>
          </w:tcPr>
          <w:p>
            <w:r>
              <w:t>C4 diagrams, two ADRs, API contract and traceability matrix</w:t>
            </w:r>
          </w:p>
        </w:tc>
      </w:tr>
      <w:tr>
        <w:trPr>
          <w:cantSplit/>
        </w:trPr>
        <w:tc>
          <w:tcPr>
            <w:tcW w:type="dxa" w:w="2541"/>
            <w:vAlign w:val="center"/>
          </w:tcPr>
          <w:p>
            <w:r>
              <w:t>Activity 10: Capstone: BudgetBuddy Release Evidence</w:t>
            </w:r>
          </w:p>
        </w:tc>
        <w:tc>
          <w:tcPr>
            <w:tcW w:type="dxa" w:w="2541"/>
            <w:vAlign w:val="center"/>
          </w:tcPr>
          <w:p>
            <w:r>
              <w:t>A1, A2, A3, A4, A5</w:t>
            </w:r>
          </w:p>
        </w:tc>
        <w:tc>
          <w:tcPr>
            <w:tcW w:type="dxa" w:w="2541"/>
            <w:vAlign w:val="center"/>
          </w:tcPr>
          <w:p>
            <w:r>
              <w:t>234–237</w:t>
            </w:r>
          </w:p>
        </w:tc>
        <w:tc>
          <w:tcPr>
            <w:tcW w:type="dxa" w:w="2541"/>
            <w:vAlign w:val="center"/>
          </w:tcPr>
          <w:p>
            <w:r>
              <w:t>Working app, complete tests, architecture pack and deployment checklist</w:t>
            </w:r>
          </w:p>
        </w:tc>
      </w:tr>
    </w:tbl>
    <w:p>
      <w:pPr>
        <w:pStyle w:val="Heading1"/>
      </w:pPr>
      <w:r>
        <w:t>Facilitation and Evidence Notes</w:t>
      </w:r>
    </w:p>
    <w:p>
      <w:r>
        <w:t>The trainer demonstrates mechanisms and design judgement in the deck. Detailed procedures and commands are taught from the Learner Guide and Activity folders. Each practical segment ends with an observable acceptance criterion and retained evidence.</w:t>
      </w:r>
    </w:p>
    <w:p>
      <w:r>
        <w:t>Assessment briefing precedes assessment. WA tests K1–K5 through five open-ended questions; PP tests A1–A5 through three coherent tasks based on Activities 1–10.</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2026 Tertiary Infotech Academy Pte Ltd · 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08A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C3AE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1B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