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4519" cy="1874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WSQ</w:t>
      </w:r>
    </w:p>
    <w:p>
      <w:pPr>
        <w:jc w:val="center"/>
      </w:pPr>
      <w:r>
        <w:rPr>
          <w:b/>
          <w:sz w:val="42"/>
        </w:rPr>
        <w:t>Lesson Plan</w:t>
      </w:r>
    </w:p>
    <w:p>
      <w:pPr>
        <w:jc w:val="center"/>
      </w:pPr>
      <w:r>
        <w:t>For</w:t>
      </w:r>
    </w:p>
    <w:p>
      <w:pPr>
        <w:jc w:val="center"/>
      </w:pPr>
      <w:r>
        <w:rPr>
          <w:b/>
          <w:color w:val="1F6FEB"/>
          <w:sz w:val="48"/>
        </w:rPr>
        <w:t>AI Vibe Coding for iOS Mobile Apps Development</w:t>
      </w:r>
    </w:p>
    <w:p>
      <w:pPr>
        <w:jc w:val="center"/>
      </w:pPr>
      <w:r>
        <w:t>TGS-2023037545</w:t>
        <w:br/>
        <w:t>Software Design 3 · ICT-DES-3005-1.1</w:t>
      </w:r>
    </w:p>
    <w:p/>
    <w:p>
      <w:pPr>
        <w:jc w:val="center"/>
      </w:pPr>
      <w:r>
        <w:t>Conducted by</w:t>
        <w:br/>
        <w:t>Tertiary Infotech Academy Pte Ltd</w:t>
        <w:br/>
        <w:t>UEN 201200696W</w:t>
      </w:r>
    </w:p>
    <w:p>
      <w:pPr>
        <w:jc w:val="center"/>
      </w:pPr>
      <w:r>
        <w:rPr>
          <w:b/>
        </w:rPr>
        <w:t>Version 1.2 · 12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541"/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541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541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541"/>
          </w:tcPr>
          <w:p>
            <w:r>
              <w:t>1.2</w:t>
            </w:r>
          </w:p>
        </w:tc>
        <w:tc>
          <w:tcPr>
            <w:tcW w:type="dxa" w:w="2541"/>
          </w:tcPr>
          <w:p>
            <w:r>
              <w:t>12 September 2026</w:t>
            </w:r>
          </w:p>
        </w:tc>
        <w:tc>
          <w:tcPr>
            <w:tcW w:type="dxa" w:w="2541"/>
          </w:tcPr>
          <w:p>
            <w:r>
              <w:t>Added runnable XcodeGen projects to all Activities, three complete capstone apps, current Simulator verification, final app icons and a gated App Store Connect preparation workflow.</w:t>
            </w:r>
          </w:p>
        </w:tc>
        <w:tc>
          <w:tcPr>
            <w:tcW w:type="dxa" w:w="2541"/>
          </w:tcPr>
          <w:p>
            <w:r>
              <w:t>Tertiary Infotech Academy</w:t>
            </w:r>
          </w:p>
        </w:tc>
      </w:tr>
      <w:tr>
        <w:tc>
          <w:tcPr>
            <w:tcW w:type="dxa" w:w="2541"/>
          </w:tcPr>
          <w:p>
            <w:r>
              <w:t>1.1</w:t>
            </w:r>
          </w:p>
        </w:tc>
        <w:tc>
          <w:tcPr>
            <w:tcW w:type="dxa" w:w="2541"/>
          </w:tcPr>
          <w:p>
            <w:r>
              <w:t>12 September 2026</w:t>
            </w:r>
          </w:p>
        </w:tc>
        <w:tc>
          <w:tcPr>
            <w:tcW w:type="dxa" w:w="2541"/>
          </w:tcPr>
          <w:p>
            <w:r>
              <w:t>Added the end-to-end iOS vibe-coding prompt pack, per-Activity generation/review prompts, prompt slides, Apple implementation references and aligned slide citations.</w:t>
            </w:r>
          </w:p>
        </w:tc>
        <w:tc>
          <w:tcPr>
            <w:tcW w:type="dxa" w:w="2541"/>
          </w:tcPr>
          <w:p>
            <w:r>
              <w:t>Tertiary Infotech Academy</w:t>
            </w:r>
          </w:p>
        </w:tc>
      </w:tr>
      <w:tr>
        <w:tc>
          <w:tcPr>
            <w:tcW w:type="dxa" w:w="2541"/>
          </w:tcPr>
          <w:p>
            <w:r>
              <w:t>1.0</w:t>
            </w:r>
          </w:p>
        </w:tc>
        <w:tc>
          <w:tcPr>
            <w:tcW w:type="dxa" w:w="2541"/>
          </w:tcPr>
          <w:p>
            <w:r>
              <w:t>12 September 2026</w:t>
            </w:r>
          </w:p>
        </w:tc>
        <w:tc>
          <w:tcPr>
            <w:tcW w:type="dxa" w:w="2541"/>
          </w:tcPr>
          <w:p>
            <w:r>
              <w:t>Initial issue: portable C++ core, Objective-C++ adapter, SwiftUI shell, AI-assisted TDD, ten Activities and aligned assessments.</w:t>
            </w:r>
          </w:p>
        </w:tc>
        <w:tc>
          <w:tcPr>
            <w:tcW w:type="dxa" w:w="2541"/>
          </w:tcPr>
          <w:p>
            <w:r>
              <w:t>Tertiary Infotech Academy</w:t>
            </w:r>
          </w:p>
        </w:tc>
      </w:tr>
    </w:tbl>
    <w:p/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6FEB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5083"/>
            <w:shd w:fill="1F6FEB"/>
          </w:tcPr>
          <w:p>
            <w:r>
              <w:rPr>
                <w:b/>
                <w:color w:val="FFFFFF"/>
              </w:rPr>
              <w:t>Page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5F8FC"/>
          </w:tcPr>
          <w:p>
            <w:r>
              <w:t>Course and Assessment Parameters</w:t>
            </w:r>
          </w:p>
        </w:tc>
        <w:tc>
          <w:tcPr>
            <w:tcW w:type="dxa" w:w="5083"/>
            <w:vAlign w:val="center"/>
            <w:shd w:fill="F5F8FC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Learning Outcomes and Slide Alignment</w:t>
            </w:r>
          </w:p>
        </w:tc>
        <w:tc>
          <w:tcPr>
            <w:tcW w:type="dxa" w:w="5083"/>
            <w:vAlign w:val="center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5F8FC"/>
          </w:tcPr>
          <w:p>
            <w:r>
              <w:t>Day 1 · Requirements, Core and Tooling</w:t>
            </w:r>
          </w:p>
        </w:tc>
        <w:tc>
          <w:tcPr>
            <w:tcW w:type="dxa" w:w="5083"/>
            <w:vAlign w:val="center"/>
            <w:shd w:fill="F5F8FC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Day 2 · Shell, Interoperability and Evidence</w:t>
            </w:r>
          </w:p>
        </w:tc>
        <w:tc>
          <w:tcPr>
            <w:tcW w:type="dxa" w:w="5083"/>
            <w:vAlign w:val="center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5F8FC"/>
          </w:tcPr>
          <w:p>
            <w:r>
              <w:t>Activity Alignment</w:t>
            </w:r>
          </w:p>
        </w:tc>
        <w:tc>
          <w:tcPr>
            <w:tcW w:type="dxa" w:w="5083"/>
            <w:vAlign w:val="center"/>
            <w:shd w:fill="F5F8FC"/>
          </w:tcPr>
          <w:p>
            <w:r>
              <w:t>5–6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Facilitation and Evidence Notes</w:t>
            </w:r>
          </w:p>
        </w:tc>
        <w:tc>
          <w:tcPr>
            <w:tcW w:type="dxa" w:w="5083"/>
            <w:vAlign w:val="center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1"/>
      </w:pPr>
      <w:r>
        <w:t>Course and Assessment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6FEB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083"/>
            <w:shd w:fill="1F6FEB"/>
          </w:tcPr>
          <w:p>
            <w:r>
              <w:rPr>
                <w:b/>
                <w:color w:val="FFFFFF"/>
              </w:rPr>
              <w:t>Approved value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5F8FC"/>
          </w:tcPr>
          <w:p>
            <w:r>
              <w:t>Course</w:t>
            </w:r>
          </w:p>
        </w:tc>
        <w:tc>
          <w:tcPr>
            <w:tcW w:type="dxa" w:w="5083"/>
            <w:vAlign w:val="center"/>
            <w:shd w:fill="F5F8FC"/>
          </w:tcPr>
          <w:p>
            <w:r>
              <w:t>AI Vibe Coding for iOS Mobile Apps Development (TGS-2023037545)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TSC</w:t>
            </w:r>
          </w:p>
        </w:tc>
        <w:tc>
          <w:tcPr>
            <w:tcW w:type="dxa" w:w="5083"/>
            <w:vAlign w:val="center"/>
          </w:tcPr>
          <w:p>
            <w:r>
              <w:t>Software Design 3 · ICT-DES-3005-1.1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5F8FC"/>
          </w:tcPr>
          <w:p>
            <w:r>
              <w:t>Duration</w:t>
            </w:r>
          </w:p>
        </w:tc>
        <w:tc>
          <w:tcPr>
            <w:tcW w:type="dxa" w:w="5083"/>
            <w:vAlign w:val="center"/>
            <w:shd w:fill="F5F8FC"/>
          </w:tcPr>
          <w:p>
            <w:r>
              <w:t>2 days · 16 contact hours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Instruction</w:t>
            </w:r>
          </w:p>
        </w:tc>
        <w:tc>
          <w:tcPr>
            <w:tcW w:type="dxa" w:w="5083"/>
            <w:vAlign w:val="center"/>
          </w:tcPr>
          <w:p>
            <w:r>
              <w:t>7 hours lecture/didactic/demonstration · 7 hours practical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5F8FC"/>
          </w:tcPr>
          <w:p>
            <w:r>
              <w:t>Assessment</w:t>
            </w:r>
          </w:p>
        </w:tc>
        <w:tc>
          <w:tcPr>
            <w:tcW w:type="dxa" w:w="5083"/>
            <w:vAlign w:val="center"/>
            <w:shd w:fill="F5F8FC"/>
          </w:tcPr>
          <w:p>
            <w:r>
              <w:t>WA (SAQ) 1 hour · PP 1 hour</w:t>
            </w:r>
          </w:p>
        </w:tc>
      </w:tr>
    </w:tbl>
    <w:p>
      <w:pPr>
        <w:pStyle w:val="Heading1"/>
      </w:pPr>
      <w:r>
        <w:t>Learning Outcomes and Slide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6FEB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3389"/>
            <w:shd w:fill="1F6FEB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3389"/>
            <w:shd w:fill="1F6FEB"/>
          </w:tcPr>
          <w:p>
            <w:r>
              <w:rPr>
                <w:b/>
                <w:color w:val="FFFFFF"/>
              </w:rPr>
              <w:t>Deck slides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5F8FC"/>
          </w:tcPr>
          <w:p>
            <w:r>
              <w:t>LO1: Determine basic software components using C++ methodologies to meet functional specifications.</w:t>
            </w:r>
          </w:p>
        </w:tc>
        <w:tc>
          <w:tcPr>
            <w:tcW w:type="dxa" w:w="3389"/>
            <w:vAlign w:val="center"/>
            <w:shd w:fill="F5F8FC"/>
          </w:tcPr>
          <w:p>
            <w:r>
              <w:t>K1, A1</w:t>
            </w:r>
          </w:p>
        </w:tc>
        <w:tc>
          <w:tcPr>
            <w:tcW w:type="dxa" w:w="3389"/>
            <w:vAlign w:val="center"/>
            <w:shd w:fill="F5F8FC"/>
          </w:tcPr>
          <w:p>
            <w:r>
              <w:t>21–66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>
              <w:t>LO2: Apply C++ methodologies and tools for software creation.</w:t>
            </w:r>
          </w:p>
        </w:tc>
        <w:tc>
          <w:tcPr>
            <w:tcW w:type="dxa" w:w="3389"/>
            <w:vAlign w:val="center"/>
          </w:tcPr>
          <w:p>
            <w:r>
              <w:t>K2, A2</w:t>
            </w:r>
          </w:p>
        </w:tc>
        <w:tc>
          <w:tcPr>
            <w:tcW w:type="dxa" w:w="3389"/>
            <w:vAlign w:val="center"/>
          </w:tcPr>
          <w:p>
            <w:r>
              <w:t>67–113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5F8FC"/>
          </w:tcPr>
          <w:p>
            <w:r>
              <w:t>LO3: Select essential C++ controls and features to meet software design requirements.</w:t>
            </w:r>
          </w:p>
        </w:tc>
        <w:tc>
          <w:tcPr>
            <w:tcW w:type="dxa" w:w="3389"/>
            <w:vAlign w:val="center"/>
            <w:shd w:fill="F5F8FC"/>
          </w:tcPr>
          <w:p>
            <w:r>
              <w:t>K3, A3</w:t>
            </w:r>
          </w:p>
        </w:tc>
        <w:tc>
          <w:tcPr>
            <w:tcW w:type="dxa" w:w="3389"/>
            <w:vAlign w:val="center"/>
            <w:shd w:fill="F5F8FC"/>
          </w:tcPr>
          <w:p>
            <w:r>
              <w:t>114–159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>
              <w:t>LO4: Examine the interoperability and functionality of C++ software components.</w:t>
            </w:r>
          </w:p>
        </w:tc>
        <w:tc>
          <w:tcPr>
            <w:tcW w:type="dxa" w:w="3389"/>
            <w:vAlign w:val="center"/>
          </w:tcPr>
          <w:p>
            <w:r>
              <w:t>K4, A4</w:t>
            </w:r>
          </w:p>
        </w:tc>
        <w:tc>
          <w:tcPr>
            <w:tcW w:type="dxa" w:w="3389"/>
            <w:vAlign w:val="center"/>
          </w:tcPr>
          <w:p>
            <w:r>
              <w:t>160–206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5F8FC"/>
          </w:tcPr>
          <w:p>
            <w:r>
              <w:t>LO5: Generate C++ design documentation aligned with user specifications.</w:t>
            </w:r>
          </w:p>
        </w:tc>
        <w:tc>
          <w:tcPr>
            <w:tcW w:type="dxa" w:w="3389"/>
            <w:vAlign w:val="center"/>
            <w:shd w:fill="F5F8FC"/>
          </w:tcPr>
          <w:p>
            <w:r>
              <w:t>K5, A5</w:t>
            </w:r>
          </w:p>
        </w:tc>
        <w:tc>
          <w:tcPr>
            <w:tcW w:type="dxa" w:w="3389"/>
            <w:vAlign w:val="center"/>
            <w:shd w:fill="F5F8FC"/>
          </w:tcPr>
          <w:p>
            <w:r>
              <w:t>207–252</w:t>
            </w:r>
          </w:p>
        </w:tc>
      </w:tr>
    </w:tbl>
    <w:p>
      <w:r>
        <w:br w:type="page"/>
      </w:r>
    </w:p>
    <w:p>
      <w:pPr>
        <w:pStyle w:val="Title"/>
      </w:pPr>
      <w:r>
        <w:t>Day 1 · Requirements, Core and Tooling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Content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Deck reference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Hours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5F8FC"/>
          </w:tcPr>
          <w:p>
            <w:r>
              <w:t>09:30–11:00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Requirements briefing, component boundary and Activity 1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Facilitated analysis · demonstration · practical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Slides 21–60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1.5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r>
              <w:t>11:00–13:00</w:t>
            </w:r>
          </w:p>
        </w:tc>
        <w:tc>
          <w:tcPr>
            <w:tcW w:type="dxa" w:w="2033"/>
            <w:vAlign w:val="center"/>
          </w:tcPr>
          <w:p>
            <w:r>
              <w:t>Portable C++ design and Activity 2</w:t>
            </w:r>
          </w:p>
        </w:tc>
        <w:tc>
          <w:tcPr>
            <w:tcW w:type="dxa" w:w="2033"/>
            <w:vAlign w:val="center"/>
          </w:tcPr>
          <w:p>
            <w:r>
              <w:t>Demonstration · guided practical</w:t>
            </w:r>
          </w:p>
        </w:tc>
        <w:tc>
          <w:tcPr>
            <w:tcW w:type="dxa" w:w="2033"/>
            <w:vAlign w:val="center"/>
          </w:tcPr>
          <w:p>
            <w:r>
              <w:t>Slides 61–65</w:t>
            </w:r>
          </w:p>
        </w:tc>
        <w:tc>
          <w:tcPr>
            <w:tcW w:type="dxa" w:w="2033"/>
            <w:vAlign w:val="center"/>
          </w:tcPr>
          <w:p>
            <w:r>
              <w:t>2.0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5F8FC"/>
          </w:tcPr>
          <w:p>
            <w:r>
              <w:t>13:00–14:00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Lunch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—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—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r>
              <w:t>14:00–16:00</w:t>
            </w:r>
          </w:p>
        </w:tc>
        <w:tc>
          <w:tcPr>
            <w:tcW w:type="dxa" w:w="2033"/>
            <w:vAlign w:val="center"/>
          </w:tcPr>
          <w:p>
            <w:r>
              <w:t>C++ methods, CMake and AI-assisted TDD</w:t>
            </w:r>
          </w:p>
        </w:tc>
        <w:tc>
          <w:tcPr>
            <w:tcW w:type="dxa" w:w="2033"/>
            <w:vAlign w:val="center"/>
          </w:tcPr>
          <w:p>
            <w:r>
              <w:t>Lecture · demonstration · questioning</w:t>
            </w:r>
          </w:p>
        </w:tc>
        <w:tc>
          <w:tcPr>
            <w:tcW w:type="dxa" w:w="2033"/>
            <w:vAlign w:val="center"/>
          </w:tcPr>
          <w:p>
            <w:r>
              <w:t>Slides 67–102</w:t>
            </w:r>
          </w:p>
        </w:tc>
        <w:tc>
          <w:tcPr>
            <w:tcW w:type="dxa" w:w="2033"/>
            <w:vAlign w:val="center"/>
          </w:tcPr>
          <w:p>
            <w:r>
              <w:t>2.0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5F8FC"/>
          </w:tcPr>
          <w:p>
            <w:r>
              <w:t>16:00–17:15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Activity 3: AI-Assisted TDD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Practical · peer review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Slides 103–107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1.25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r>
              <w:t>17:15–18:30</w:t>
            </w:r>
          </w:p>
        </w:tc>
        <w:tc>
          <w:tcPr>
            <w:tcW w:type="dxa" w:w="2033"/>
            <w:vAlign w:val="center"/>
          </w:tcPr>
          <w:p>
            <w:r>
              <w:t>Activity 4: Toolchain and Quality Gates · Day review</w:t>
            </w:r>
          </w:p>
        </w:tc>
        <w:tc>
          <w:tcPr>
            <w:tcW w:type="dxa" w:w="2033"/>
            <w:vAlign w:val="center"/>
          </w:tcPr>
          <w:p>
            <w:r>
              <w:t>Practical · retrieval practice</w:t>
            </w:r>
          </w:p>
        </w:tc>
        <w:tc>
          <w:tcPr>
            <w:tcW w:type="dxa" w:w="2033"/>
            <w:vAlign w:val="center"/>
          </w:tcPr>
          <w:p>
            <w:r>
              <w:t>Slides 108–112</w:t>
            </w:r>
          </w:p>
        </w:tc>
        <w:tc>
          <w:tcPr>
            <w:tcW w:type="dxa" w:w="2033"/>
            <w:vAlign w:val="center"/>
          </w:tcPr>
          <w:p>
            <w:r>
              <w:t>1.25</w:t>
            </w:r>
          </w:p>
        </w:tc>
      </w:tr>
    </w:tbl>
    <w:p>
      <w:r>
        <w:rPr>
          <w:b/>
        </w:rPr>
        <w:t>Day 1 contact total: 8.0 hours.</w:t>
      </w:r>
    </w:p>
    <w:p>
      <w:r>
        <w:br w:type="page"/>
      </w:r>
    </w:p>
    <w:p>
      <w:pPr>
        <w:pStyle w:val="Title"/>
      </w:pPr>
      <w:r>
        <w:t>Day 2 · Shell, Interoperability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Content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Deck reference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Hours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5F8FC"/>
          </w:tcPr>
          <w:p>
            <w:r>
              <w:t>09:30–11:15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SwiftUI controls, state and Objective-C++ boundary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Lecture · demonstration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Slides 114–148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1.75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r>
              <w:t>11:15–13:00</w:t>
            </w:r>
          </w:p>
        </w:tc>
        <w:tc>
          <w:tcPr>
            <w:tcW w:type="dxa" w:w="2033"/>
            <w:vAlign w:val="center"/>
          </w:tcPr>
          <w:p>
            <w:r>
              <w:t>Activities 5–6: Adapter and SwiftUI controls</w:t>
            </w:r>
          </w:p>
        </w:tc>
        <w:tc>
          <w:tcPr>
            <w:tcW w:type="dxa" w:w="2033"/>
            <w:vAlign w:val="center"/>
          </w:tcPr>
          <w:p>
            <w:r>
              <w:t>Guided practical</w:t>
            </w:r>
          </w:p>
        </w:tc>
        <w:tc>
          <w:tcPr>
            <w:tcW w:type="dxa" w:w="2033"/>
            <w:vAlign w:val="center"/>
          </w:tcPr>
          <w:p>
            <w:r>
              <w:t>Slides 149–158</w:t>
            </w:r>
          </w:p>
        </w:tc>
        <w:tc>
          <w:tcPr>
            <w:tcW w:type="dxa" w:w="2033"/>
            <w:vAlign w:val="center"/>
          </w:tcPr>
          <w:p>
            <w:r>
              <w:t>1.75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5F8FC"/>
          </w:tcPr>
          <w:p>
            <w:r>
              <w:t>13:00–14:00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Lunch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—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—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r>
              <w:t>14:00–15:20</w:t>
            </w:r>
          </w:p>
        </w:tc>
        <w:tc>
          <w:tcPr>
            <w:tcW w:type="dxa" w:w="2033"/>
            <w:vAlign w:val="center"/>
          </w:tcPr>
          <w:p>
            <w:r>
              <w:t>Activities 7–8: Persistence and interoperability evidence</w:t>
            </w:r>
          </w:p>
        </w:tc>
        <w:tc>
          <w:tcPr>
            <w:tcW w:type="dxa" w:w="2033"/>
            <w:vAlign w:val="center"/>
          </w:tcPr>
          <w:p>
            <w:r>
              <w:t>Practical · assessment of evidence</w:t>
            </w:r>
          </w:p>
        </w:tc>
        <w:tc>
          <w:tcPr>
            <w:tcW w:type="dxa" w:w="2033"/>
            <w:vAlign w:val="center"/>
          </w:tcPr>
          <w:p>
            <w:r>
              <w:t>Slides 196–205</w:t>
            </w:r>
          </w:p>
        </w:tc>
        <w:tc>
          <w:tcPr>
            <w:tcW w:type="dxa" w:w="2033"/>
            <w:vAlign w:val="center"/>
          </w:tcPr>
          <w:p>
            <w:r>
              <w:t>1.33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5F8FC"/>
          </w:tcPr>
          <w:p>
            <w:r>
              <w:t>15:20–16:30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Activities 9–10: Documentation and capstone evidence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Practical · facilitated review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Slides 242–251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1.17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r>
              <w:t>16:30–17:30</w:t>
            </w:r>
          </w:p>
        </w:tc>
        <w:tc>
          <w:tcPr>
            <w:tcW w:type="dxa" w:w="2033"/>
            <w:vAlign w:val="center"/>
          </w:tcPr>
          <w:p>
            <w:r>
              <w:t>Written Assessment (SAQ)</w:t>
            </w:r>
          </w:p>
        </w:tc>
        <w:tc>
          <w:tcPr>
            <w:tcW w:type="dxa" w:w="2033"/>
            <w:vAlign w:val="center"/>
          </w:tcPr>
          <w:p>
            <w:r>
              <w:t>Individual assessment</w:t>
            </w:r>
          </w:p>
        </w:tc>
        <w:tc>
          <w:tcPr>
            <w:tcW w:type="dxa" w:w="2033"/>
            <w:vAlign w:val="center"/>
          </w:tcPr>
          <w:p>
            <w:r>
              <w:t>Closing administration slides 257–260</w:t>
            </w:r>
          </w:p>
        </w:tc>
        <w:tc>
          <w:tcPr>
            <w:tcW w:type="dxa" w:w="2033"/>
            <w:vAlign w:val="center"/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5F8FC"/>
          </w:tcPr>
          <w:p>
            <w:r>
              <w:t>17:30–18:30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Practical Performance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Individual assessment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Assessment papers and Activity evidence</w:t>
            </w:r>
          </w:p>
        </w:tc>
        <w:tc>
          <w:tcPr>
            <w:tcW w:type="dxa" w:w="2033"/>
            <w:vAlign w:val="center"/>
            <w:shd w:fill="F5F8FC"/>
          </w:tcPr>
          <w:p>
            <w:r>
              <w:t>1.0</w:t>
            </w:r>
          </w:p>
        </w:tc>
      </w:tr>
    </w:tbl>
    <w:p>
      <w:r>
        <w:rPr>
          <w:b/>
        </w:rPr>
        <w:t>Day 2 contact total: 8.0 hours. Course total: 16.0 hours, comprising 14 training hours and 2 assessment hours.</w:t>
      </w:r>
    </w:p>
    <w:p>
      <w:pPr>
        <w:pStyle w:val="Heading1"/>
      </w:pPr>
      <w:r>
        <w:t>Activity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6FEB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541"/>
            <w:shd w:fill="1F6FEB"/>
          </w:tcPr>
          <w:p>
            <w:r>
              <w:rPr>
                <w:b/>
                <w:color w:val="FFFFFF"/>
              </w:rPr>
              <w:t>Mapping</w:t>
            </w:r>
          </w:p>
        </w:tc>
        <w:tc>
          <w:tcPr>
            <w:tcW w:type="dxa" w:w="2541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  <w:tc>
          <w:tcPr>
            <w:tcW w:type="dxa" w:w="2541"/>
            <w:shd w:fill="1F6FEB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5F8FC"/>
          </w:tcPr>
          <w:p>
            <w:r>
              <w:t>Activity 1: Requirements and Component Boundary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K1, A1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56–60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Requirement matrix, boundary diagram and acceptance criteria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>
              <w:t>Activity 2: Portable C++ Domain Core</w:t>
            </w:r>
          </w:p>
        </w:tc>
        <w:tc>
          <w:tcPr>
            <w:tcW w:type="dxa" w:w="2541"/>
            <w:vAlign w:val="center"/>
          </w:tcPr>
          <w:p>
            <w:r>
              <w:t>K1, A1</w:t>
            </w:r>
          </w:p>
        </w:tc>
        <w:tc>
          <w:tcPr>
            <w:tcW w:type="dxa" w:w="2541"/>
            <w:vAlign w:val="center"/>
          </w:tcPr>
          <w:p>
            <w:r>
              <w:t>61–65</w:t>
            </w:r>
          </w:p>
        </w:tc>
        <w:tc>
          <w:tcPr>
            <w:tcW w:type="dxa" w:w="2541"/>
            <w:vAlign w:val="center"/>
          </w:tcPr>
          <w:p>
            <w:r>
              <w:t>Compiling C++20 library and domain tests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5F8FC"/>
          </w:tcPr>
          <w:p>
            <w:r>
              <w:t>Activity 3: AI-Assisted TDD for C++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K2, A2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103–107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Prompt contract, failing trace, minimal patch and passing trace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>
              <w:t>Activity 4: Toolchain and Quality Gates</w:t>
            </w:r>
          </w:p>
        </w:tc>
        <w:tc>
          <w:tcPr>
            <w:tcW w:type="dxa" w:w="2541"/>
            <w:vAlign w:val="center"/>
          </w:tcPr>
          <w:p>
            <w:r>
              <w:t>K2, A2</w:t>
            </w:r>
          </w:p>
        </w:tc>
        <w:tc>
          <w:tcPr>
            <w:tcW w:type="dxa" w:w="2541"/>
            <w:vAlign w:val="center"/>
          </w:tcPr>
          <w:p>
            <w:r>
              <w:t>108–112</w:t>
            </w:r>
          </w:p>
        </w:tc>
        <w:tc>
          <w:tcPr>
            <w:tcW w:type="dxa" w:w="2541"/>
            <w:vAlign w:val="center"/>
          </w:tcPr>
          <w:p>
            <w:r>
              <w:t>Warning-clean build, quality script and evidence log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5F8FC"/>
          </w:tcPr>
          <w:p>
            <w:r>
              <w:t>Activity 5: Objective-C++ Adapter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K3, A3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149–153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Bridge header, .mm adapter and round-trip test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>
              <w:t>Activity 6: SwiftUI Controls and State</w:t>
            </w:r>
          </w:p>
        </w:tc>
        <w:tc>
          <w:tcPr>
            <w:tcW w:type="dxa" w:w="2541"/>
            <w:vAlign w:val="center"/>
          </w:tcPr>
          <w:p>
            <w:r>
              <w:t>K3, A3</w:t>
            </w:r>
          </w:p>
        </w:tc>
        <w:tc>
          <w:tcPr>
            <w:tcW w:type="dxa" w:w="2541"/>
            <w:vAlign w:val="center"/>
          </w:tcPr>
          <w:p>
            <w:r>
              <w:t>154–158</w:t>
            </w:r>
          </w:p>
        </w:tc>
        <w:tc>
          <w:tcPr>
            <w:tcW w:type="dxa" w:w="2541"/>
            <w:vAlign w:val="center"/>
          </w:tcPr>
          <w:p>
            <w:r>
              <w:t>SwiftUI entry flow, deterministic previews and validation states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5F8FC"/>
          </w:tcPr>
          <w:p>
            <w:r>
              <w:t>Activity 7: Persistence and Error Recovery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K4, A4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196–200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Versioned JSON repository, migration fixture and recovery tests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>
              <w:t>Activity 8: Interoperability Validation Scorecard</w:t>
            </w:r>
          </w:p>
        </w:tc>
        <w:tc>
          <w:tcPr>
            <w:tcW w:type="dxa" w:w="2541"/>
            <w:vAlign w:val="center"/>
          </w:tcPr>
          <w:p>
            <w:r>
              <w:t>K4, A4</w:t>
            </w:r>
          </w:p>
        </w:tc>
        <w:tc>
          <w:tcPr>
            <w:tcW w:type="dxa" w:w="2541"/>
            <w:vAlign w:val="center"/>
          </w:tcPr>
          <w:p>
            <w:r>
              <w:t>201–205</w:t>
            </w:r>
          </w:p>
        </w:tc>
        <w:tc>
          <w:tcPr>
            <w:tcW w:type="dxa" w:w="2541"/>
            <w:vAlign w:val="center"/>
          </w:tcPr>
          <w:p>
            <w:r>
              <w:t>Test matrix, execution evidence and release scorecard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5F8FC"/>
          </w:tcPr>
          <w:p>
            <w:r>
              <w:t>Activity 9: Architecture and Traceability Documentation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K5, A5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242–246</w:t>
            </w:r>
          </w:p>
        </w:tc>
        <w:tc>
          <w:tcPr>
            <w:tcW w:type="dxa" w:w="2541"/>
            <w:vAlign w:val="center"/>
            <w:shd w:fill="F5F8FC"/>
          </w:tcPr>
          <w:p>
            <w:r>
              <w:t>C4 diagrams, two ADRs, API contract and traceability matrix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>
              <w:t>Activity 10: Capstone: BudgetBuddy Release Evidence</w:t>
            </w:r>
          </w:p>
        </w:tc>
        <w:tc>
          <w:tcPr>
            <w:tcW w:type="dxa" w:w="2541"/>
            <w:vAlign w:val="center"/>
          </w:tcPr>
          <w:p>
            <w:r>
              <w:t>A1, A2, A3, A4, A5</w:t>
            </w:r>
          </w:p>
        </w:tc>
        <w:tc>
          <w:tcPr>
            <w:tcW w:type="dxa" w:w="2541"/>
            <w:vAlign w:val="center"/>
          </w:tcPr>
          <w:p>
            <w:r>
              <w:t>247–251</w:t>
            </w:r>
          </w:p>
        </w:tc>
        <w:tc>
          <w:tcPr>
            <w:tcW w:type="dxa" w:w="2541"/>
            <w:vAlign w:val="center"/>
          </w:tcPr>
          <w:p>
            <w:r>
              <w:t>Working app, complete tests, architecture pack and deployment checklist</w:t>
            </w:r>
          </w:p>
        </w:tc>
      </w:tr>
    </w:tbl>
    <w:p>
      <w:pPr>
        <w:pStyle w:val="Heading1"/>
      </w:pPr>
      <w:r>
        <w:t>Facilitation and Evidence Notes</w:t>
      </w:r>
    </w:p>
    <w:p>
      <w:r>
        <w:t>The trainer demonstrates mechanisms and design judgement in the deck. Each Activity also has a readable copy/paste code-generation prompt slide, while the full generation and review/repair prompts remain in the Learner Guide and Activity folders. No click-by-click Xcode procedure is placed in the deck. Each practical segment ends with an observable acceptance criterion and retained evidence.</w:t>
      </w:r>
    </w:p>
    <w:p>
      <w:r>
        <w:t>Assessment briefing precedes assessment. WA tests K1–K5 through five open-ended questions; PP tests A1–A5 through three coherent tasks based on Activities 1–10.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C3A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1B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