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Fundamentals of ISO 14001 Environmental Management System (EMS)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TGS-2023037592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Legacy release (date not stated)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Legacy trainer-slide baseline.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20 August 2026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Rebuilt as a two-day ISO 14001:2026 EMS course with eight A1–A8 activities.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Facilitation and Evidence Strategy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1 — EMS foundations, context, leadership, aspects, planning, support and operational control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2 — Emergency readiness, performance evaluation, audit, management review and continual improvement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Activity-to-Ability Mapping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Mapping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F4F6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5184"/>
          </w:tcPr>
          <w:p>
            <w:r>
              <w:t>Fundamentals of ISO 14001 Environmental Management System (EMS)</w:t>
            </w:r>
          </w:p>
        </w:tc>
      </w:tr>
      <w:tr>
        <w:tc>
          <w:tcPr>
            <w:tcW w:type="dxa" w:w="5184"/>
            <w:shd w:fill="E8F4F6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5184"/>
          </w:tcPr>
          <w:p>
            <w:r>
              <w:t>TGS-2023037592</w:t>
            </w:r>
          </w:p>
        </w:tc>
      </w:tr>
      <w:tr>
        <w:tc>
          <w:tcPr>
            <w:tcW w:type="dxa" w:w="5184"/>
            <w:shd w:fill="E8F4F6"/>
          </w:tcPr>
          <w:p>
            <w:r>
              <w:rPr>
                <w:b/>
              </w:rPr>
              <w:t>TSC</w:t>
            </w:r>
          </w:p>
        </w:tc>
        <w:tc>
          <w:tcPr>
            <w:tcW w:type="dxa" w:w="5184"/>
          </w:tcPr>
          <w:p>
            <w:r>
              <w:t>Environmental Management System Policies, Standards, Procedures and Practices Management (EVS-HSE-4002-1.1)</w:t>
            </w:r>
          </w:p>
        </w:tc>
      </w:tr>
      <w:tr>
        <w:tc>
          <w:tcPr>
            <w:tcW w:type="dxa" w:w="5184"/>
            <w:shd w:fill="E8F4F6"/>
          </w:tcPr>
          <w:p>
            <w:r>
              <w:rPr>
                <w:b/>
              </w:rPr>
              <w:t>Training provider</w:t>
            </w:r>
          </w:p>
        </w:tc>
        <w:tc>
          <w:tcPr>
            <w:tcW w:type="dxa" w:w="5184"/>
          </w:tcPr>
          <w:p>
            <w:r>
              <w:t>Tertiary Infotech Academy Pte Ltd (UEN: 201200696W)</w:t>
            </w:r>
          </w:p>
        </w:tc>
      </w:tr>
      <w:tr>
        <w:tc>
          <w:tcPr>
            <w:tcW w:type="dxa" w:w="5184"/>
            <w:shd w:fill="E8F4F6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184"/>
          </w:tcPr>
          <w:p>
            <w:r>
              <w:t>2 days / 16 hours, including 2 assessment hours</w:t>
            </w:r>
          </w:p>
        </w:tc>
      </w:tr>
      <w:tr>
        <w:tc>
          <w:tcPr>
            <w:tcW w:type="dxa" w:w="5184"/>
            <w:shd w:fill="E8F4F6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5184"/>
          </w:tcPr>
          <w:p>
            <w:r>
              <w:t>Written Assessment: 6 questions, 1 hour; Case Study: 4 questions, 1 hour</w:t>
            </w:r>
          </w:p>
        </w:tc>
      </w:tr>
      <w:tr>
        <w:tc>
          <w:tcPr>
            <w:tcW w:type="dxa" w:w="5184"/>
            <w:shd w:fill="E8F4F6"/>
          </w:tcPr>
          <w:p>
            <w:r>
              <w:rPr>
                <w:b/>
              </w:rPr>
              <w:t>Delivery</w:t>
            </w:r>
          </w:p>
        </w:tc>
        <w:tc>
          <w:tcPr>
            <w:tcW w:type="dxa" w:w="5184"/>
          </w:tcPr>
          <w:p>
            <w:r>
              <w:t>Instructor-led and facilitated case work using Meridian EcoPack Pte Ltd</w:t>
            </w:r>
          </w:p>
        </w:tc>
      </w:tr>
    </w:tbl>
    <w:p>
      <w:pPr>
        <w:pStyle w:val="Heading1"/>
      </w:pPr>
      <w:r>
        <w:t>Course Learning Outcomes</w:t>
      </w:r>
    </w:p>
    <w:p>
      <w:pPr>
        <w:pStyle w:val="ListBullet"/>
      </w:pPr>
      <w:r>
        <w:t>LO1: Identify environmental hazards and assess risks within the workplace context using an ISO 14001 EMS.</w:t>
      </w:r>
    </w:p>
    <w:p>
      <w:pPr>
        <w:pStyle w:val="ListBullet"/>
      </w:pPr>
      <w:r>
        <w:t>LO2: Determine actions for environmental accidents and report unsafe conditions or acts to relevant authorities.</w:t>
      </w:r>
    </w:p>
    <w:p>
      <w:pPr>
        <w:pStyle w:val="ListBullet"/>
      </w:pPr>
      <w:r>
        <w:t>LO3: Evaluate environmental hazards and oversee ISO 14001 EMS-related training and assessment activities.</w:t>
      </w:r>
    </w:p>
    <w:p>
      <w:pPr>
        <w:pStyle w:val="ListBullet"/>
      </w:pPr>
      <w:r>
        <w:t>LO4: Enhance the intended outcomes of environmental management through ISO 14001 EMS continual improvement.</w:t>
      </w:r>
    </w:p>
    <w:p>
      <w:pPr>
        <w:pStyle w:val="Heading1"/>
      </w:pPr>
      <w:r>
        <w:t>Facilitation and Evidence Strategy</w:t>
      </w:r>
    </w:p>
    <w:p>
      <w:pPr>
        <w:pStyle w:val="ListBullet"/>
      </w:pPr>
      <w:r>
        <w:t>Use slides for concepts, visual models, scenarios and decision prompts; use the Learner Guide and activity packs for detailed procedures.</w:t>
      </w:r>
    </w:p>
    <w:p>
      <w:pPr>
        <w:pStyle w:val="ListBullet"/>
      </w:pPr>
      <w:r>
        <w:t>Use a licensed ISO 14001:2026 copy for formal requirement interpretation; the courseware paraphrases concepts.</w:t>
      </w:r>
    </w:p>
    <w:p>
      <w:pPr>
        <w:pStyle w:val="ListBullet"/>
      </w:pPr>
      <w:r>
        <w:t>Each activity produces evidence mapped to A1–A8 and carries the MEP evidence chain forward.</w:t>
      </w:r>
    </w:p>
    <w:p>
      <w:pPr>
        <w:pStyle w:val="ListBullet"/>
      </w:pPr>
      <w:r>
        <w:t>Observe environmental reasoning, evidence traceability, workbook quality, participation and report-back.</w:t>
      </w:r>
    </w:p>
    <w:p>
      <w:r>
        <w:br w:type="page"/>
      </w:r>
    </w:p>
    <w:p>
      <w:pPr>
        <w:pStyle w:val="Heading1"/>
      </w:pPr>
      <w:r>
        <w:t>Day 1 — EMS foundations, context, leadership, aspects, planning, support and operational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176B87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936"/>
            <w:shd w:fill="176B87"/>
          </w:tcPr>
          <w:p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3240"/>
            <w:shd w:fill="176B87"/>
          </w:tcPr>
          <w:p>
            <w:r>
              <w:rPr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520"/>
            <w:shd w:fill="176B87"/>
          </w:tcPr>
          <w:p>
            <w:r>
              <w:rPr>
                <w:b/>
                <w:color w:val="FFFFFF"/>
                <w:sz w:val="16"/>
              </w:rPr>
              <w:t>Facilitation method</w:t>
            </w:r>
          </w:p>
        </w:tc>
        <w:tc>
          <w:tcPr>
            <w:tcW w:type="dxa" w:w="936"/>
            <w:shd w:fill="176B87"/>
          </w:tcPr>
          <w:p>
            <w:r>
              <w:rPr>
                <w:b/>
                <w:color w:val="FFFFFF"/>
                <w:sz w:val="16"/>
              </w:rPr>
              <w:t>PPT</w:t>
            </w:r>
          </w:p>
        </w:tc>
        <w:tc>
          <w:tcPr>
            <w:tcW w:type="dxa" w:w="2520"/>
            <w:shd w:fill="176B87"/>
          </w:tcPr>
          <w:p>
            <w:r>
              <w:rPr>
                <w:b/>
                <w:color w:val="FFFFFF"/>
                <w:sz w:val="16"/>
              </w:rPr>
              <w:t>Evidence / trainer checks</w:t>
            </w:r>
          </w:p>
        </w:tc>
      </w:tr>
      <w:tr>
        <w:tc>
          <w:tcPr>
            <w:tcW w:type="dxa" w:w="108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09:00–09:30</w:t>
            </w:r>
          </w:p>
        </w:tc>
        <w:tc>
          <w:tcPr>
            <w:tcW w:type="dxa" w:w="936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30 min</w:t>
            </w:r>
          </w:p>
        </w:tc>
        <w:tc>
          <w:tcPr>
            <w:tcW w:type="dxa" w:w="324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Welcome, outcomes, assessment overview and AM digital attendance</w:t>
            </w:r>
          </w:p>
        </w:tc>
        <w:tc>
          <w:tcPr>
            <w:tcW w:type="dxa" w:w="252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Facilitated briefing; learner introductions</w:t>
            </w:r>
          </w:p>
        </w:tc>
        <w:tc>
          <w:tcPr>
            <w:tcW w:type="dxa" w:w="936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1–12</w:t>
            </w:r>
          </w:p>
        </w:tc>
        <w:tc>
          <w:tcPr>
            <w:tcW w:type="dxa" w:w="252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Attendance confirmed; expectations captured</w:t>
            </w:r>
          </w:p>
        </w:tc>
      </w:tr>
      <w:tr>
        <w:tc>
          <w:tcPr>
            <w:tcW w:type="dxa" w:w="108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09:30–10:30</w:t>
            </w:r>
          </w:p>
        </w:tc>
        <w:tc>
          <w:tcPr>
            <w:tcW w:type="dxa" w:w="936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60 min</w:t>
            </w:r>
          </w:p>
        </w:tc>
        <w:tc>
          <w:tcPr>
            <w:tcW w:type="dxa" w:w="324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Topic 1 — EMS purpose, ISO family, 2026 status, PDCA, context and leadership</w:t>
            </w:r>
          </w:p>
        </w:tc>
        <w:tc>
          <w:tcPr>
            <w:tcW w:type="dxa" w:w="252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Visual concept briefing; MEP examples</w:t>
            </w:r>
          </w:p>
        </w:tc>
        <w:tc>
          <w:tcPr>
            <w:tcW w:type="dxa" w:w="936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34–62</w:t>
            </w:r>
          </w:p>
        </w:tc>
        <w:tc>
          <w:tcPr>
            <w:tcW w:type="dxa" w:w="252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Targeted questions and scenario reasoning</w:t>
            </w:r>
          </w:p>
        </w:tc>
      </w:tr>
      <w:tr>
        <w:tc>
          <w:tcPr>
            <w:tcW w:type="dxa" w:w="108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10:30–10:45</w:t>
            </w:r>
          </w:p>
        </w:tc>
        <w:tc>
          <w:tcPr>
            <w:tcW w:type="dxa" w:w="936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15 min</w:t>
            </w:r>
          </w:p>
        </w:tc>
        <w:tc>
          <w:tcPr>
            <w:tcW w:type="dxa" w:w="324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Tea break</w:t>
            </w:r>
          </w:p>
        </w:tc>
        <w:tc>
          <w:tcPr>
            <w:tcW w:type="dxa" w:w="252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936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52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10:45–11:45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60 min</w:t>
            </w:r>
          </w:p>
        </w:tc>
        <w:tc>
          <w:tcPr>
            <w:tcW w:type="dxa" w:w="324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A1 — Environmental Baseline and Aspect Inventory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Evidence analysis; workbook; report-back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34–62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Workbook, peer challenge and report-back</w:t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11:45–13:00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75 min</w:t>
            </w:r>
          </w:p>
        </w:tc>
        <w:tc>
          <w:tcPr>
            <w:tcW w:type="dxa" w:w="324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A2 — Significance, Risks and Opportunities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Scoring calibration; sensitivity challenge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34–62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Workbook, peer challenge and report-back</w:t>
            </w:r>
          </w:p>
        </w:tc>
      </w:tr>
      <w:tr>
        <w:tc>
          <w:tcPr>
            <w:tcW w:type="dxa" w:w="1080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13:00–14:00</w:t>
            </w:r>
          </w:p>
        </w:tc>
        <w:tc>
          <w:tcPr>
            <w:tcW w:type="dxa" w:w="936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60 min</w:t>
            </w:r>
          </w:p>
        </w:tc>
        <w:tc>
          <w:tcPr>
            <w:tcW w:type="dxa" w:w="3240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Lunch break</w:t>
            </w:r>
          </w:p>
        </w:tc>
        <w:tc>
          <w:tcPr>
            <w:tcW w:type="dxa" w:w="2520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936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520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08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14:00–15:00</w:t>
            </w:r>
          </w:p>
        </w:tc>
        <w:tc>
          <w:tcPr>
            <w:tcW w:type="dxa" w:w="936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60 min</w:t>
            </w:r>
          </w:p>
        </w:tc>
        <w:tc>
          <w:tcPr>
            <w:tcW w:type="dxa" w:w="324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Topic 2 — planning, obligations, objectives and support</w:t>
            </w:r>
          </w:p>
        </w:tc>
        <w:tc>
          <w:tcPr>
            <w:tcW w:type="dxa" w:w="252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Concept briefing; obligation-to-control trace</w:t>
            </w:r>
          </w:p>
        </w:tc>
        <w:tc>
          <w:tcPr>
            <w:tcW w:type="dxa" w:w="936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65–106</w:t>
            </w:r>
          </w:p>
        </w:tc>
        <w:tc>
          <w:tcPr>
            <w:tcW w:type="dxa" w:w="252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Targeted questions and scenario reasoning</w:t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15:00–15:45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45 min</w:t>
            </w:r>
          </w:p>
        </w:tc>
        <w:tc>
          <w:tcPr>
            <w:tcW w:type="dxa" w:w="324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A3 — Compliance Obligations Register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Source/applicability/evidence mapping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65–106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Workbook, peer challenge and report-back</w:t>
            </w:r>
          </w:p>
        </w:tc>
      </w:tr>
      <w:tr>
        <w:tc>
          <w:tcPr>
            <w:tcW w:type="dxa" w:w="108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15:45–16:00</w:t>
            </w:r>
          </w:p>
        </w:tc>
        <w:tc>
          <w:tcPr>
            <w:tcW w:type="dxa" w:w="936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15 min</w:t>
            </w:r>
          </w:p>
        </w:tc>
        <w:tc>
          <w:tcPr>
            <w:tcW w:type="dxa" w:w="324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Tea break</w:t>
            </w:r>
          </w:p>
        </w:tc>
        <w:tc>
          <w:tcPr>
            <w:tcW w:type="dxa" w:w="252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936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52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16:00–17:00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60 min</w:t>
            </w:r>
          </w:p>
        </w:tc>
        <w:tc>
          <w:tcPr>
            <w:tcW w:type="dxa" w:w="324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A4 — Environmental Objectives and Competence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KPI/action/competence design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65–106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Workbook, peer challenge and report-back</w:t>
            </w:r>
          </w:p>
        </w:tc>
      </w:tr>
      <w:tr>
        <w:tc>
          <w:tcPr>
            <w:tcW w:type="dxa" w:w="108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17:00–17:45</w:t>
            </w:r>
          </w:p>
        </w:tc>
        <w:tc>
          <w:tcPr>
            <w:tcW w:type="dxa" w:w="936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45 min</w:t>
            </w:r>
          </w:p>
        </w:tc>
        <w:tc>
          <w:tcPr>
            <w:tcW w:type="dxa" w:w="324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Topic 2 — life-cycle perspective and operational control</w:t>
            </w:r>
          </w:p>
        </w:tc>
        <w:tc>
          <w:tcPr>
            <w:tcW w:type="dxa" w:w="252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Value-chain visual; control/influence challenge</w:t>
            </w:r>
          </w:p>
        </w:tc>
        <w:tc>
          <w:tcPr>
            <w:tcW w:type="dxa" w:w="936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65–106</w:t>
            </w:r>
          </w:p>
        </w:tc>
        <w:tc>
          <w:tcPr>
            <w:tcW w:type="dxa" w:w="252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Targeted questions and scenario reasoning</w:t>
            </w:r>
          </w:p>
        </w:tc>
      </w:tr>
      <w:tr>
        <w:tc>
          <w:tcPr>
            <w:tcW w:type="dxa" w:w="108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17:45–18:00</w:t>
            </w:r>
          </w:p>
        </w:tc>
        <w:tc>
          <w:tcPr>
            <w:tcW w:type="dxa" w:w="936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15 min</w:t>
            </w:r>
          </w:p>
        </w:tc>
        <w:tc>
          <w:tcPr>
            <w:tcW w:type="dxa" w:w="324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Day 1 retrieval practice and PM digital attendance</w:t>
            </w:r>
          </w:p>
        </w:tc>
        <w:tc>
          <w:tcPr>
            <w:tcW w:type="dxa" w:w="252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Debrief; learning journal</w:t>
            </w:r>
          </w:p>
        </w:tc>
        <w:tc>
          <w:tcPr>
            <w:tcW w:type="dxa" w:w="936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Closing slides</w:t>
            </w:r>
          </w:p>
        </w:tc>
        <w:tc>
          <w:tcPr>
            <w:tcW w:type="dxa" w:w="252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Retrieval responses and learning journal</w:t>
            </w:r>
          </w:p>
        </w:tc>
      </w:tr>
    </w:tbl>
    <w:p>
      <w:r>
        <w:rPr>
          <w:b/>
          <w:color w:val="176B87"/>
        </w:rPr>
        <w:t>Scheduled duration: 540 minutes including breaks and lunch.</w:t>
      </w:r>
    </w:p>
    <w:p>
      <w:r>
        <w:br w:type="page"/>
      </w:r>
    </w:p>
    <w:p>
      <w:pPr>
        <w:pStyle w:val="Heading1"/>
      </w:pPr>
      <w:r>
        <w:t>Day 2 — Emergency readiness, performance evaluation, audit, management review and continual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shd w:fill="176B87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936"/>
            <w:shd w:fill="176B87"/>
          </w:tcPr>
          <w:p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3240"/>
            <w:shd w:fill="176B87"/>
          </w:tcPr>
          <w:p>
            <w:r>
              <w:rPr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520"/>
            <w:shd w:fill="176B87"/>
          </w:tcPr>
          <w:p>
            <w:r>
              <w:rPr>
                <w:b/>
                <w:color w:val="FFFFFF"/>
                <w:sz w:val="16"/>
              </w:rPr>
              <w:t>Facilitation method</w:t>
            </w:r>
          </w:p>
        </w:tc>
        <w:tc>
          <w:tcPr>
            <w:tcW w:type="dxa" w:w="936"/>
            <w:shd w:fill="176B87"/>
          </w:tcPr>
          <w:p>
            <w:r>
              <w:rPr>
                <w:b/>
                <w:color w:val="FFFFFF"/>
                <w:sz w:val="16"/>
              </w:rPr>
              <w:t>PPT</w:t>
            </w:r>
          </w:p>
        </w:tc>
        <w:tc>
          <w:tcPr>
            <w:tcW w:type="dxa" w:w="2520"/>
            <w:shd w:fill="176B87"/>
          </w:tcPr>
          <w:p>
            <w:r>
              <w:rPr>
                <w:b/>
                <w:color w:val="FFFFFF"/>
                <w:sz w:val="16"/>
              </w:rPr>
              <w:t>Evidence / trainer checks</w:t>
            </w:r>
          </w:p>
        </w:tc>
      </w:tr>
      <w:tr>
        <w:tc>
          <w:tcPr>
            <w:tcW w:type="dxa" w:w="108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09:00–09:15</w:t>
            </w:r>
          </w:p>
        </w:tc>
        <w:tc>
          <w:tcPr>
            <w:tcW w:type="dxa" w:w="936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15 min</w:t>
            </w:r>
          </w:p>
        </w:tc>
        <w:tc>
          <w:tcPr>
            <w:tcW w:type="dxa" w:w="324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Day 1 retrieval and AM digital attendance</w:t>
            </w:r>
          </w:p>
        </w:tc>
        <w:tc>
          <w:tcPr>
            <w:tcW w:type="dxa" w:w="252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Questioning; recap</w:t>
            </w:r>
          </w:p>
        </w:tc>
        <w:tc>
          <w:tcPr>
            <w:tcW w:type="dxa" w:w="936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Topic 2 restart</w:t>
            </w:r>
          </w:p>
        </w:tc>
        <w:tc>
          <w:tcPr>
            <w:tcW w:type="dxa" w:w="2520"/>
            <w:vAlign w:val="center"/>
            <w:shd w:fill="F1F5F9"/>
          </w:tcPr>
          <w:p>
            <w:r>
              <w:rPr>
                <w:rFonts w:ascii="Arial" w:hAnsi="Arial"/>
                <w:sz w:val="16"/>
              </w:rPr>
              <w:t>Retrieval responses and learning journal</w:t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09:15–10:15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60 min</w:t>
            </w:r>
          </w:p>
        </w:tc>
        <w:tc>
          <w:tcPr>
            <w:tcW w:type="dxa" w:w="324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A5 — Life-Cycle Operational Controls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Control/influence and supplier evidence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65–106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Workbook, peer challenge and report-back</w:t>
            </w:r>
          </w:p>
        </w:tc>
      </w:tr>
      <w:tr>
        <w:tc>
          <w:tcPr>
            <w:tcW w:type="dxa" w:w="108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10:15–10:30</w:t>
            </w:r>
          </w:p>
        </w:tc>
        <w:tc>
          <w:tcPr>
            <w:tcW w:type="dxa" w:w="936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15 min</w:t>
            </w:r>
          </w:p>
        </w:tc>
        <w:tc>
          <w:tcPr>
            <w:tcW w:type="dxa" w:w="324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Tea break</w:t>
            </w:r>
          </w:p>
        </w:tc>
        <w:tc>
          <w:tcPr>
            <w:tcW w:type="dxa" w:w="252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936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52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10:30–11:30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60 min</w:t>
            </w:r>
          </w:p>
        </w:tc>
        <w:tc>
          <w:tcPr>
            <w:tcW w:type="dxa" w:w="324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A6 — Environmental Emergency Tabletop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Timed injects; roles; notification decision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65–106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Workbook, peer challenge and report-back</w:t>
            </w:r>
          </w:p>
        </w:tc>
      </w:tr>
      <w:tr>
        <w:tc>
          <w:tcPr>
            <w:tcW w:type="dxa" w:w="108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11:30–12:30</w:t>
            </w:r>
          </w:p>
        </w:tc>
        <w:tc>
          <w:tcPr>
            <w:tcW w:type="dxa" w:w="936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60 min</w:t>
            </w:r>
          </w:p>
        </w:tc>
        <w:tc>
          <w:tcPr>
            <w:tcW w:type="dxa" w:w="324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Topic 3 — indicators, compliance evaluation, audit and management review</w:t>
            </w:r>
          </w:p>
        </w:tc>
        <w:tc>
          <w:tcPr>
            <w:tcW w:type="dxa" w:w="252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Visual briefing; evidence-quality challenge</w:t>
            </w:r>
          </w:p>
        </w:tc>
        <w:tc>
          <w:tcPr>
            <w:tcW w:type="dxa" w:w="936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109–127</w:t>
            </w:r>
          </w:p>
        </w:tc>
        <w:tc>
          <w:tcPr>
            <w:tcW w:type="dxa" w:w="252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Targeted questions and scenario reasoning</w:t>
            </w:r>
          </w:p>
        </w:tc>
      </w:tr>
      <w:tr>
        <w:tc>
          <w:tcPr>
            <w:tcW w:type="dxa" w:w="1080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12:30–13:30</w:t>
            </w:r>
          </w:p>
        </w:tc>
        <w:tc>
          <w:tcPr>
            <w:tcW w:type="dxa" w:w="936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60 min</w:t>
            </w:r>
          </w:p>
        </w:tc>
        <w:tc>
          <w:tcPr>
            <w:tcW w:type="dxa" w:w="3240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Lunch break</w:t>
            </w:r>
          </w:p>
        </w:tc>
        <w:tc>
          <w:tcPr>
            <w:tcW w:type="dxa" w:w="2520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936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520"/>
            <w:vAlign w:val="center"/>
            <w:shd w:fill="FDE9D9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13:30–14:30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60 min</w:t>
            </w:r>
          </w:p>
        </w:tc>
        <w:tc>
          <w:tcPr>
            <w:tcW w:type="dxa" w:w="324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A7 — Performance Evaluation and Internal Audit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KPI analysis; compliance sample; audit role-play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109–127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Workbook, peer challenge and report-back</w:t>
            </w:r>
          </w:p>
        </w:tc>
      </w:tr>
      <w:tr>
        <w:tc>
          <w:tcPr>
            <w:tcW w:type="dxa" w:w="108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14:30–15:00</w:t>
            </w:r>
          </w:p>
        </w:tc>
        <w:tc>
          <w:tcPr>
            <w:tcW w:type="dxa" w:w="936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30 min</w:t>
            </w:r>
          </w:p>
        </w:tc>
        <w:tc>
          <w:tcPr>
            <w:tcW w:type="dxa" w:w="324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Topic 4 — correction, cause, corrective action and improvement</w:t>
            </w:r>
          </w:p>
        </w:tc>
        <w:tc>
          <w:tcPr>
            <w:tcW w:type="dxa" w:w="252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Worked incident-to-learning model</w:t>
            </w:r>
          </w:p>
        </w:tc>
        <w:tc>
          <w:tcPr>
            <w:tcW w:type="dxa" w:w="936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130–147</w:t>
            </w:r>
          </w:p>
        </w:tc>
        <w:tc>
          <w:tcPr>
            <w:tcW w:type="dxa" w:w="2520"/>
            <w:vAlign w:val="center"/>
            <w:shd w:fill="E8F4F6"/>
          </w:tcPr>
          <w:p>
            <w:r>
              <w:rPr>
                <w:rFonts w:ascii="Arial" w:hAnsi="Arial"/>
                <w:sz w:val="16"/>
              </w:rPr>
              <w:t>Targeted questions and scenario reasoning</w:t>
            </w:r>
          </w:p>
        </w:tc>
      </w:tr>
      <w:tr>
        <w:tc>
          <w:tcPr>
            <w:tcW w:type="dxa" w:w="108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15:00–15:15</w:t>
            </w:r>
          </w:p>
        </w:tc>
        <w:tc>
          <w:tcPr>
            <w:tcW w:type="dxa" w:w="936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15 min</w:t>
            </w:r>
          </w:p>
        </w:tc>
        <w:tc>
          <w:tcPr>
            <w:tcW w:type="dxa" w:w="324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Tea break</w:t>
            </w:r>
          </w:p>
        </w:tc>
        <w:tc>
          <w:tcPr>
            <w:tcW w:type="dxa" w:w="252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936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520"/>
            <w:vAlign w:val="center"/>
            <w:shd w:fill="FFF4E5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08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15:15–15:45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30 min</w:t>
            </w:r>
          </w:p>
        </w:tc>
        <w:tc>
          <w:tcPr>
            <w:tcW w:type="dxa" w:w="324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A8 — Corrective Action and 2026 Transition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CAPA; effectiveness; gap-roadmap decisions</w:t>
            </w:r>
          </w:p>
        </w:tc>
        <w:tc>
          <w:tcPr>
            <w:tcW w:type="dxa" w:w="936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130–147</w:t>
            </w:r>
          </w:p>
        </w:tc>
        <w:tc>
          <w:tcPr>
            <w:tcW w:type="dxa" w:w="2520"/>
            <w:vAlign w:val="center"/>
            <w:shd w:fill="E8F7EE"/>
          </w:tcPr>
          <w:p>
            <w:r>
              <w:rPr>
                <w:rFonts w:ascii="Arial" w:hAnsi="Arial"/>
                <w:sz w:val="16"/>
              </w:rPr>
              <w:t>Workbook, peer challenge and report-back</w:t>
            </w:r>
          </w:p>
        </w:tc>
      </w:tr>
      <w:tr>
        <w:tc>
          <w:tcPr>
            <w:tcW w:type="dxa" w:w="1080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15:45–16:00</w:t>
            </w:r>
          </w:p>
        </w:tc>
        <w:tc>
          <w:tcPr>
            <w:tcW w:type="dxa" w:w="936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15 min</w:t>
            </w:r>
          </w:p>
        </w:tc>
        <w:tc>
          <w:tcPr>
            <w:tcW w:type="dxa" w:w="3240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Assessment briefing and submission checks</w:t>
            </w:r>
          </w:p>
        </w:tc>
        <w:tc>
          <w:tcPr>
            <w:tcW w:type="dxa" w:w="2520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Individual readiness check</w:t>
            </w:r>
          </w:p>
        </w:tc>
        <w:tc>
          <w:tcPr>
            <w:tcW w:type="dxa" w:w="936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Final assessment slides</w:t>
            </w:r>
          </w:p>
        </w:tc>
        <w:tc>
          <w:tcPr>
            <w:tcW w:type="dxa" w:w="2520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Individual conditions; submission confirmed</w:t>
            </w:r>
          </w:p>
        </w:tc>
      </w:tr>
      <w:tr>
        <w:tc>
          <w:tcPr>
            <w:tcW w:type="dxa" w:w="1080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16:00–17:00</w:t>
            </w:r>
          </w:p>
        </w:tc>
        <w:tc>
          <w:tcPr>
            <w:tcW w:type="dxa" w:w="936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60 min</w:t>
            </w:r>
          </w:p>
        </w:tc>
        <w:tc>
          <w:tcPr>
            <w:tcW w:type="dxa" w:w="3240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Written Assessment — 6 open-ended questions</w:t>
            </w:r>
          </w:p>
        </w:tc>
        <w:tc>
          <w:tcPr>
            <w:tcW w:type="dxa" w:w="2520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Individual, open book</w:t>
            </w:r>
          </w:p>
        </w:tc>
        <w:tc>
          <w:tcPr>
            <w:tcW w:type="dxa" w:w="936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Final assessment slides</w:t>
            </w:r>
          </w:p>
        </w:tc>
        <w:tc>
          <w:tcPr>
            <w:tcW w:type="dxa" w:w="2520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Individual conditions; submission confirmed</w:t>
            </w:r>
          </w:p>
        </w:tc>
      </w:tr>
      <w:tr>
        <w:tc>
          <w:tcPr>
            <w:tcW w:type="dxa" w:w="1080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17:00–18:00</w:t>
            </w:r>
          </w:p>
        </w:tc>
        <w:tc>
          <w:tcPr>
            <w:tcW w:type="dxa" w:w="936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60 min</w:t>
            </w:r>
          </w:p>
        </w:tc>
        <w:tc>
          <w:tcPr>
            <w:tcW w:type="dxa" w:w="3240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Case Study — 4 scenario questions; submit and sign</w:t>
            </w:r>
          </w:p>
        </w:tc>
        <w:tc>
          <w:tcPr>
            <w:tcW w:type="dxa" w:w="2520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Individual, open book</w:t>
            </w:r>
          </w:p>
        </w:tc>
        <w:tc>
          <w:tcPr>
            <w:tcW w:type="dxa" w:w="936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Final assessment slides</w:t>
            </w:r>
          </w:p>
        </w:tc>
        <w:tc>
          <w:tcPr>
            <w:tcW w:type="dxa" w:w="2520"/>
            <w:vAlign w:val="center"/>
            <w:shd w:fill="FCE8E6"/>
          </w:tcPr>
          <w:p>
            <w:r>
              <w:rPr>
                <w:rFonts w:ascii="Arial" w:hAnsi="Arial"/>
                <w:sz w:val="16"/>
              </w:rPr>
              <w:t>Individual conditions; submission confirmed</w:t>
            </w:r>
          </w:p>
        </w:tc>
      </w:tr>
    </w:tbl>
    <w:p>
      <w:r>
        <w:rPr>
          <w:b/>
          <w:color w:val="176B87"/>
        </w:rPr>
        <w:t>Scheduled duration: 540 minutes including breaks and lunch.</w:t>
      </w:r>
    </w:p>
    <w:p>
      <w:r>
        <w:br w:type="page"/>
      </w:r>
    </w:p>
    <w:p>
      <w:pPr>
        <w:pStyle w:val="Heading1"/>
      </w:pPr>
      <w:r>
        <w:t>Activity-to-Ability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6B87"/>
          </w:tcPr>
          <w:p>
            <w:r>
              <w:t>Activity</w:t>
            </w:r>
          </w:p>
        </w:tc>
        <w:tc>
          <w:tcPr>
            <w:tcW w:type="dxa" w:w="2592"/>
            <w:shd w:fill="176B87"/>
          </w:tcPr>
          <w:p>
            <w:r>
              <w:t>Ability</w:t>
            </w:r>
          </w:p>
        </w:tc>
        <w:tc>
          <w:tcPr>
            <w:tcW w:type="dxa" w:w="2592"/>
            <w:shd w:fill="176B87"/>
          </w:tcPr>
          <w:p>
            <w:r>
              <w:t>Observable product</w:t>
            </w:r>
          </w:p>
        </w:tc>
        <w:tc>
          <w:tcPr>
            <w:tcW w:type="dxa" w:w="2592"/>
            <w:shd w:fill="176B87"/>
          </w:tcPr>
          <w:p>
            <w:r>
              <w:t>Primary debrief focus</w:t>
            </w:r>
          </w:p>
        </w:tc>
      </w:tr>
      <w:tr>
        <w:tc>
          <w:tcPr>
            <w:tcW w:type="dxa" w:w="2592"/>
          </w:tcPr>
          <w:p>
            <w:r>
              <w:t>A1 Baseline and aspects</w:t>
            </w:r>
          </w:p>
        </w:tc>
        <w:tc>
          <w:tcPr>
            <w:tcW w:type="dxa" w:w="2592"/>
          </w:tcPr>
          <w:p>
            <w:r>
              <w:t>A1</w:t>
            </w:r>
          </w:p>
        </w:tc>
        <w:tc>
          <w:tcPr>
            <w:tcW w:type="dxa" w:w="2592"/>
          </w:tcPr>
          <w:p>
            <w:r>
              <w:t>Boundary, baseline and aspect-impact inventory</w:t>
            </w:r>
          </w:p>
        </w:tc>
        <w:tc>
          <w:tcPr>
            <w:tcW w:type="dxa" w:w="2592"/>
          </w:tcPr>
          <w:p>
            <w:r>
              <w:t>Cause/impact/evidence gaps</w:t>
            </w:r>
          </w:p>
        </w:tc>
      </w:tr>
      <w:tr>
        <w:tc>
          <w:tcPr>
            <w:tcW w:type="dxa" w:w="2592"/>
          </w:tcPr>
          <w:p>
            <w:r>
              <w:t>A2 Significance and risk</w:t>
            </w:r>
          </w:p>
        </w:tc>
        <w:tc>
          <w:tcPr>
            <w:tcW w:type="dxa" w:w="2592"/>
          </w:tcPr>
          <w:p>
            <w:r>
              <w:t>A2</w:t>
            </w:r>
          </w:p>
        </w:tc>
        <w:tc>
          <w:tcPr>
            <w:tcW w:type="dxa" w:w="2592"/>
          </w:tcPr>
          <w:p>
            <w:r>
              <w:t>Significance matrix and priorities</w:t>
            </w:r>
          </w:p>
        </w:tc>
        <w:tc>
          <w:tcPr>
            <w:tcW w:type="dxa" w:w="2592"/>
          </w:tcPr>
          <w:p>
            <w:r>
              <w:t>Criteria, overrides and uncertainty</w:t>
            </w:r>
          </w:p>
        </w:tc>
      </w:tr>
      <w:tr>
        <w:tc>
          <w:tcPr>
            <w:tcW w:type="dxa" w:w="2592"/>
          </w:tcPr>
          <w:p>
            <w:r>
              <w:t>A3 Obligations register</w:t>
            </w:r>
          </w:p>
        </w:tc>
        <w:tc>
          <w:tcPr>
            <w:tcW w:type="dxa" w:w="2592"/>
          </w:tcPr>
          <w:p>
            <w:r>
              <w:t>A4</w:t>
            </w:r>
          </w:p>
        </w:tc>
        <w:tc>
          <w:tcPr>
            <w:tcW w:type="dxa" w:w="2592"/>
          </w:tcPr>
          <w:p>
            <w:r>
              <w:t>Applicability, evidence and escalation register</w:t>
            </w:r>
          </w:p>
        </w:tc>
        <w:tc>
          <w:tcPr>
            <w:tcW w:type="dxa" w:w="2592"/>
          </w:tcPr>
          <w:p>
            <w:r>
              <w:t>Source authority and status</w:t>
            </w:r>
          </w:p>
        </w:tc>
      </w:tr>
      <w:tr>
        <w:tc>
          <w:tcPr>
            <w:tcW w:type="dxa" w:w="2592"/>
          </w:tcPr>
          <w:p>
            <w:r>
              <w:t>A4 Objectives and competence</w:t>
            </w:r>
          </w:p>
        </w:tc>
        <w:tc>
          <w:tcPr>
            <w:tcW w:type="dxa" w:w="2592"/>
          </w:tcPr>
          <w:p>
            <w:r>
              <w:t>A6</w:t>
            </w:r>
          </w:p>
        </w:tc>
        <w:tc>
          <w:tcPr>
            <w:tcW w:type="dxa" w:w="2592"/>
          </w:tcPr>
          <w:p>
            <w:r>
              <w:t>KPI/action plan and competence matrix</w:t>
            </w:r>
          </w:p>
        </w:tc>
        <w:tc>
          <w:tcPr>
            <w:tcW w:type="dxa" w:w="2592"/>
          </w:tcPr>
          <w:p>
            <w:r>
              <w:t>Measurability and evaluation</w:t>
            </w:r>
          </w:p>
        </w:tc>
      </w:tr>
      <w:tr>
        <w:tc>
          <w:tcPr>
            <w:tcW w:type="dxa" w:w="2592"/>
          </w:tcPr>
          <w:p>
            <w:r>
              <w:t>A5 Operational controls</w:t>
            </w:r>
          </w:p>
        </w:tc>
        <w:tc>
          <w:tcPr>
            <w:tcW w:type="dxa" w:w="2592"/>
          </w:tcPr>
          <w:p>
            <w:r>
              <w:t>A5</w:t>
            </w:r>
          </w:p>
        </w:tc>
        <w:tc>
          <w:tcPr>
            <w:tcW w:type="dxa" w:w="2592"/>
          </w:tcPr>
          <w:p>
            <w:r>
              <w:t>Control plan and supplier matrix</w:t>
            </w:r>
          </w:p>
        </w:tc>
        <w:tc>
          <w:tcPr>
            <w:tcW w:type="dxa" w:w="2592"/>
          </w:tcPr>
          <w:p>
            <w:r>
              <w:t>Control versus influence</w:t>
            </w:r>
          </w:p>
        </w:tc>
      </w:tr>
      <w:tr>
        <w:tc>
          <w:tcPr>
            <w:tcW w:type="dxa" w:w="2592"/>
          </w:tcPr>
          <w:p>
            <w:r>
              <w:t>A6 Emergency tabletop</w:t>
            </w:r>
          </w:p>
        </w:tc>
        <w:tc>
          <w:tcPr>
            <w:tcW w:type="dxa" w:w="2592"/>
          </w:tcPr>
          <w:p>
            <w:r>
              <w:t>A3, A4</w:t>
            </w:r>
          </w:p>
        </w:tc>
        <w:tc>
          <w:tcPr>
            <w:tcW w:type="dxa" w:w="2592"/>
          </w:tcPr>
          <w:p>
            <w:r>
              <w:t>Response/notification log and actions</w:t>
            </w:r>
          </w:p>
        </w:tc>
        <w:tc>
          <w:tcPr>
            <w:tcW w:type="dxa" w:w="2592"/>
          </w:tcPr>
          <w:p>
            <w:r>
              <w:t>Protection, authority and evidence</w:t>
            </w:r>
          </w:p>
        </w:tc>
      </w:tr>
      <w:tr>
        <w:tc>
          <w:tcPr>
            <w:tcW w:type="dxa" w:w="2592"/>
          </w:tcPr>
          <w:p>
            <w:r>
              <w:t>A7 Performance and audit</w:t>
            </w:r>
          </w:p>
        </w:tc>
        <w:tc>
          <w:tcPr>
            <w:tcW w:type="dxa" w:w="2592"/>
          </w:tcPr>
          <w:p>
            <w:r>
              <w:t>A5, A6</w:t>
            </w:r>
          </w:p>
        </w:tc>
        <w:tc>
          <w:tcPr>
            <w:tcW w:type="dxa" w:w="2592"/>
          </w:tcPr>
          <w:p>
            <w:r>
              <w:t>KPI analysis, evaluation and audit findings</w:t>
            </w:r>
          </w:p>
        </w:tc>
        <w:tc>
          <w:tcPr>
            <w:tcW w:type="dxa" w:w="2592"/>
          </w:tcPr>
          <w:p>
            <w:r>
              <w:t>Data quality and fair findings</w:t>
            </w:r>
          </w:p>
        </w:tc>
      </w:tr>
      <w:tr>
        <w:tc>
          <w:tcPr>
            <w:tcW w:type="dxa" w:w="2592"/>
          </w:tcPr>
          <w:p>
            <w:r>
              <w:t>A8 CAPA and transition</w:t>
            </w:r>
          </w:p>
        </w:tc>
        <w:tc>
          <w:tcPr>
            <w:tcW w:type="dxa" w:w="2592"/>
          </w:tcPr>
          <w:p>
            <w:r>
              <w:t>A7, A8</w:t>
            </w:r>
          </w:p>
        </w:tc>
        <w:tc>
          <w:tcPr>
            <w:tcW w:type="dxa" w:w="2592"/>
          </w:tcPr>
          <w:p>
            <w:r>
              <w:t>CAPA, effectiveness and transition roadmap</w:t>
            </w:r>
          </w:p>
        </w:tc>
        <w:tc>
          <w:tcPr>
            <w:tcW w:type="dxa" w:w="2592"/>
          </w:tcPr>
          <w:p>
            <w:r>
              <w:t>Cause, closure and controlled change</w:t>
            </w:r>
          </w:p>
        </w:tc>
      </w:tr>
    </w:tbl>
    <w:p>
      <w:pPr>
        <w:pStyle w:val="Heading1"/>
      </w:pPr>
      <w:r>
        <w:t>Assessment Mapping</w:t>
      </w:r>
    </w:p>
    <w:p>
      <w:pPr>
        <w:pStyle w:val="ListBullet"/>
      </w:pPr>
      <w:r>
        <w:t>WA Q1–Q6 assess K1–K6 respectively.</w:t>
      </w:r>
    </w:p>
    <w:p>
      <w:pPr>
        <w:pStyle w:val="ListBullet"/>
      </w:pPr>
      <w:r>
        <w:t>Case Study Q1 assesses A1–A2; Q2 assesses A3–A4; Q3 assesses A5–A6; Q4 assesses A7–A8.</w:t>
      </w:r>
    </w:p>
    <w:p>
      <w:pPr>
        <w:pStyle w:val="ListBullet"/>
      </w:pPr>
      <w:r>
        <w:t>Both instruments are individual, open-book and 60 minutes each.</w:t>
      </w: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