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Cisco Certified Network Associate (CCNA)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TGS-2023037854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41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Legacy reference version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Original CCNA course material retained privately for coverage comparison.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541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13 September 2026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Rebuilt for current CCNA v1.1,announced v2.0 transition,aligned activities and verified evidence.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576" w:val="right" w:leader="dot"/>
        </w:tabs>
        <w:spacing w:after="160"/>
      </w:pPr>
      <w:r>
        <w:fldChar w:fldCharType="begin"/>
      </w:r>
      <w:r>
        <w:instrText xml:space="preserve">TOC \o "1-1" \h \z \u</w:instrText>
      </w:r>
      <w:r>
        <w:fldChar w:fldCharType="separate"/>
      </w:r>
      <w:hyperlink w:anchor="course_toc_1" w:history="1">
        <w:r>
          <w:rPr>
            <w:rFonts w:ascii="Arial" w:hAnsi="Arial"/>
            <w:sz w:val="22"/>
          </w:rPr>
          <w:t>Programme Structure and Outcomes</w:t>
        </w:r>
      </w:hyperlink>
      <w:r>
        <w:rPr>
          <w:sz w:val="22"/>
        </w:rPr>
        <w:tab/>
        <w:t>4</w:t>
      </w:r>
    </w:p>
    <w:p>
      <w:pPr>
        <w:tabs>
          <w:tab w:pos="9576" w:val="right" w:leader="dot"/>
        </w:tabs>
        <w:spacing w:after="160"/>
      </w:pPr>
      <w:hyperlink w:anchor="course_toc_2" w:history="1">
        <w:r>
          <w:rPr>
            <w:rFonts w:ascii="Arial" w:hAnsi="Arial"/>
            <w:sz w:val="22"/>
          </w:rPr>
          <w:t>Day 1</w:t>
        </w:r>
      </w:hyperlink>
      <w:r>
        <w:rPr>
          <w:sz w:val="22"/>
        </w:rPr>
        <w:tab/>
        <w:t>4</w:t>
      </w:r>
    </w:p>
    <w:p>
      <w:pPr>
        <w:tabs>
          <w:tab w:pos="9576" w:val="right" w:leader="dot"/>
        </w:tabs>
        <w:spacing w:after="160"/>
      </w:pPr>
      <w:hyperlink w:anchor="course_toc_3" w:history="1">
        <w:r>
          <w:rPr>
            <w:rFonts w:ascii="Arial" w:hAnsi="Arial"/>
            <w:sz w:val="22"/>
          </w:rPr>
          <w:t>Day 2</w:t>
        </w:r>
      </w:hyperlink>
      <w:r>
        <w:rPr>
          <w:sz w:val="22"/>
        </w:rPr>
        <w:tab/>
        <w:t>4</w:t>
      </w:r>
    </w:p>
    <w:p>
      <w:pPr>
        <w:tabs>
          <w:tab w:pos="9576" w:val="right" w:leader="dot"/>
        </w:tabs>
        <w:spacing w:after="160"/>
      </w:pPr>
      <w:hyperlink w:anchor="course_toc_4" w:history="1">
        <w:r>
          <w:rPr>
            <w:rFonts w:ascii="Arial" w:hAnsi="Arial"/>
            <w:sz w:val="22"/>
          </w:rPr>
          <w:t>Day 3</w:t>
        </w:r>
      </w:hyperlink>
      <w:r>
        <w:rPr>
          <w:sz w:val="22"/>
        </w:rPr>
        <w:tab/>
        <w:t>5</w:t>
      </w:r>
    </w:p>
    <w:p>
      <w:pPr>
        <w:tabs>
          <w:tab w:pos="9576" w:val="right" w:leader="dot"/>
        </w:tabs>
        <w:spacing w:after="160"/>
      </w:pPr>
      <w:hyperlink w:anchor="course_toc_5" w:history="1">
        <w:r>
          <w:rPr>
            <w:rFonts w:ascii="Arial" w:hAnsi="Arial"/>
            <w:sz w:val="22"/>
          </w:rPr>
          <w:t>Day 4</w:t>
        </w:r>
      </w:hyperlink>
      <w:r>
        <w:rPr>
          <w:sz w:val="22"/>
        </w:rPr>
        <w:tab/>
        <w:t>5</w:t>
      </w:r>
    </w:p>
    <w:p>
      <w:pPr>
        <w:tabs>
          <w:tab w:pos="9576" w:val="right" w:leader="dot"/>
        </w:tabs>
        <w:spacing w:after="160"/>
      </w:pPr>
      <w:hyperlink w:anchor="course_toc_6" w:history="1">
        <w:r>
          <w:rPr>
            <w:rFonts w:ascii="Arial" w:hAnsi="Arial"/>
            <w:sz w:val="22"/>
          </w:rPr>
          <w:t>Day 5</w:t>
        </w:r>
      </w:hyperlink>
      <w:r>
        <w:rPr>
          <w:sz w:val="22"/>
        </w:rPr>
        <w:tab/>
        <w:t>5</w:t>
      </w:r>
    </w:p>
    <w:p>
      <w:pPr>
        <w:tabs>
          <w:tab w:pos="9576" w:val="right" w:leader="dot"/>
        </w:tabs>
        <w:spacing w:after="160"/>
      </w:pPr>
      <w:hyperlink w:anchor="course_toc_7" w:history="1">
        <w:r>
          <w:rPr>
            <w:rFonts w:ascii="Arial" w:hAnsi="Arial"/>
            <w:sz w:val="22"/>
          </w:rPr>
          <w:t>Topic-to-slide Delivery Map</w:t>
        </w:r>
      </w:hyperlink>
      <w:r>
        <w:rPr>
          <w:sz w:val="22"/>
        </w:rPr>
        <w:tab/>
        <w:t>6</w:t>
      </w:r>
    </w:p>
    <w:p>
      <w:pPr>
        <w:tabs>
          <w:tab w:pos="9576" w:val="right" w:leader="dot"/>
        </w:tabs>
        <w:spacing w:after="160"/>
      </w:pPr>
      <w:hyperlink w:anchor="course_toc_8" w:history="1">
        <w:r>
          <w:rPr>
            <w:rFonts w:ascii="Arial" w:hAnsi="Arial"/>
            <w:sz w:val="22"/>
          </w:rPr>
          <w:t>Activity Delivery and Acceptance</w:t>
        </w:r>
      </w:hyperlink>
      <w:r>
        <w:rPr>
          <w:sz w:val="22"/>
        </w:rPr>
        <w:tab/>
        <w:t>9</w:t>
      </w:r>
    </w:p>
    <w:p>
      <w:pPr>
        <w:tabs>
          <w:tab w:pos="9576" w:val="right" w:leader="dot"/>
        </w:tabs>
        <w:spacing w:after="160"/>
      </w:pPr>
      <w:hyperlink w:anchor="course_toc_9" w:history="1">
        <w:r>
          <w:rPr>
            <w:rFonts w:ascii="Arial" w:hAnsi="Arial"/>
            <w:sz w:val="22"/>
          </w:rPr>
          <w:t>Announced v2.0 Transition and Final Revision</w:t>
        </w:r>
      </w:hyperlink>
      <w:r>
        <w:rPr>
          <w:sz w:val="22"/>
        </w:rPr>
        <w:tab/>
        <w:t>11</w:t>
      </w:r>
    </w:p>
    <w:p>
      <w:pPr>
        <w:tabs>
          <w:tab w:pos="9576" w:val="right" w:leader="dot"/>
        </w:tabs>
        <w:spacing w:after="160"/>
      </w:pPr>
      <w:hyperlink w:anchor="course_toc_10" w:history="1">
        <w:r>
          <w:rPr>
            <w:rFonts w:ascii="Arial" w:hAnsi="Arial"/>
            <w:sz w:val="22"/>
          </w:rPr>
          <w:t>Assessment Administration</w:t>
        </w:r>
      </w:hyperlink>
      <w:r>
        <w:rPr>
          <w:sz w:val="22"/>
        </w:rPr>
        <w:tab/>
        <w:t>11</w:t>
      </w:r>
      <w:r>
        <w:fldChar w:fldCharType="end"/>
      </w:r>
    </w:p>
    <w:p>
      <w:r>
        <w:br w:type="page"/>
      </w:r>
    </w:p>
    <w:p>
      <w:bookmarkStart w:id="1000" w:name="course_toc_1"/>
      <w:pPr>
        <w:pStyle w:val="Heading1"/>
      </w:pPr>
      <w:r>
        <w:t>Programme Structure and Outcomes</w:t>
      </w:r>
      <w:bookmarkEnd w:id="1000"/>
    </w:p>
    <w:p>
      <w:pPr>
        <w:spacing w:after="140"/>
      </w:pPr>
      <w:r>
        <w:t>Course TGS-2023037854 ·5 days / 40 hours. Training:19 lecture +19 practical = 38 hours. Assessment:Written 1 hour + Practical 1 hour = 2 hours. Breaks are outside allocated contact time;daily tables use session minutes rather than wall-clock times. Trainer flexes discussion pace across substantive evidence slides while preserving domain coverage and activity duration.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  <w:sz w:val="18"/>
              </w:rPr>
              <w:t>Course outcome</w:t>
            </w:r>
          </w:p>
        </w:tc>
        <w:tc>
          <w:tcPr>
            <w:tcW w:type="dxa" w:w="5083"/>
          </w:tcPr>
          <w:p>
            <w:r>
              <w:rPr>
                <w:b/>
                <w:sz w:val="18"/>
              </w:rPr>
              <w:t>TSC alignment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Requirements, component dependencies, addressing/capacity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K1/A1-A2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Device/server configuration and implementation techniques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K2-K4/A3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Management access and network security control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K5/A4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Tool selection, tracking and stability reporting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K3/K6/A5-A6</w:t>
            </w:r>
          </w:p>
        </w:tc>
      </w:tr>
    </w:tbl>
    <w:p>
      <w:bookmarkStart w:id="1001" w:name="course_toc_2"/>
      <w:pPr>
        <w:pStyle w:val="Heading1"/>
      </w:pPr>
      <w:r>
        <w:t>Day 1</w:t>
      </w:r>
      <w:bookmarkEnd w:id="100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Minutes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Slides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Method /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Lecture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Network Fundamentals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Slides 16-161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Technical exhibit discussion, worked paths and diagnostic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1 — Addressing and endpoint paths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701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2 — Physical and VLAN evidence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702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</w:tbl>
    <w:p>
      <w:pPr>
        <w:spacing w:after="140"/>
      </w:pPr>
      <w:r>
        <w:t>Allocated contact time: 480 minutes. Attendance/admin checks are integrated;breaks add time outside the allocation.</w:t>
      </w:r>
    </w:p>
    <w:p>
      <w:bookmarkStart w:id="1002" w:name="course_toc_3"/>
      <w:pPr>
        <w:pStyle w:val="Heading1"/>
      </w:pPr>
      <w:r>
        <w:t>Day 2</w:t>
      </w:r>
      <w:bookmarkEnd w:id="100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Minutes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Slides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Method /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Lecture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Network Access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190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Slides 163-283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Technical exhibit discussion, worked paths and diagnostic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3 — Trunks and inter-VLAN routing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703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4 — EtherChannel and STP resilience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704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5 — Wireless WLAN and policy mapping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705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</w:tbl>
    <w:p>
      <w:pPr>
        <w:spacing w:after="140"/>
      </w:pPr>
      <w:r>
        <w:t>Allocated contact time: 480 minutes. Attendance/admin checks are integrated;breaks add time outside the allocation.</w:t>
      </w:r>
    </w:p>
    <w:p>
      <w:bookmarkStart w:id="1003" w:name="course_toc_4"/>
      <w:pPr>
        <w:pStyle w:val="Heading1"/>
      </w:pPr>
      <w:r>
        <w:t>Day 3</w:t>
      </w:r>
      <w:bookmarkEnd w:id="100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Minutes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Slides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Method /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Lecture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IP Connectivity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260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Slides 284-414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Technical exhibit discussion, worked paths and diagnostic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6 — Static routing and IPv6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706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7 — OSPF and gateway failover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707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</w:tbl>
    <w:p>
      <w:pPr>
        <w:spacing w:after="140"/>
      </w:pPr>
      <w:r>
        <w:t>Allocated contact time: 480 minutes. Attendance/admin checks are integrated;breaks add time outside the allocation.</w:t>
      </w:r>
    </w:p>
    <w:p>
      <w:bookmarkStart w:id="1004" w:name="course_toc_5"/>
      <w:pPr>
        <w:pStyle w:val="Heading1"/>
      </w:pPr>
      <w:r>
        <w:t>Day 4</w:t>
      </w:r>
      <w:bookmarkEnd w:id="100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Minutes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Slides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Method /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Lecture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IP Services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Slides 415-480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Technical exhibit discussion, worked paths and diagnostic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Lecture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Security Fundamentals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Slides 481-571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Technical exhibit discussion, worked paths and diagnostic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8 — NAT DHCP DNS and time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708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9 — ACL and secure management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709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10 — Layer 2 and wireless security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710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</w:tbl>
    <w:p>
      <w:pPr>
        <w:spacing w:after="140"/>
      </w:pPr>
      <w:r>
        <w:t>Allocated contact time: 480 minutes. Attendance/admin checks are integrated;breaks add time outside the allocation.</w:t>
      </w:r>
    </w:p>
    <w:p>
      <w:bookmarkStart w:id="1005" w:name="course_toc_6"/>
      <w:pPr>
        <w:pStyle w:val="Heading1"/>
      </w:pPr>
      <w:r>
        <w:t>Day 5</w:t>
      </w:r>
      <w:bookmarkEnd w:id="100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Minutes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Slides</w:t>
            </w:r>
          </w:p>
        </w:tc>
        <w:tc>
          <w:tcPr>
            <w:tcW w:type="dxa" w:w="2033"/>
          </w:tcPr>
          <w:p>
            <w:r>
              <w:rPr>
                <w:b/>
                <w:sz w:val="18"/>
              </w:rPr>
              <w:t>Method /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Lecture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Automation and Programmability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Slides 572-622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Technical exhibit discussion, worked paths and diagnostic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Lecture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Announced v2.0 transition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Slides 625-700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Technical exhibit discussion, worked paths and diagnostic evidence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11 — REST JSON and configuration automation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711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Practical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Activity 12 — Integrated incident and change verification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Slide 712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Guided implementation, fixture check, hardware/simulator evidence and checklist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Written Assessment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Approved candidate paper;knowledge K1-K6.</w:t>
            </w:r>
          </w:p>
        </w:tc>
      </w:tr>
      <w:tr>
        <w:tc>
          <w:tcPr>
            <w:tcW w:type="dxa" w:w="2033"/>
          </w:tcPr>
          <w:p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Practical Performance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33"/>
          </w:tcPr>
          <w:p>
            <w:r>
              <w:rPr>
                <w:b w:val="0"/>
                <w:sz w:val="18"/>
              </w:rPr>
              <w:t>Approved performance tasks;abilities A1-A6.</w:t>
            </w:r>
          </w:p>
        </w:tc>
      </w:tr>
    </w:tbl>
    <w:p>
      <w:pPr>
        <w:spacing w:after="140"/>
      </w:pPr>
      <w:r>
        <w:t>Allocated contact time: 480 minutes. Attendance/admin checks are integrated;breaks add time outside the allocation.</w:t>
      </w:r>
    </w:p>
    <w:p>
      <w:bookmarkStart w:id="1006" w:name="course_toc_7"/>
      <w:pPr>
        <w:pStyle w:val="Heading1"/>
      </w:pPr>
      <w:r>
        <w:t>Topic-to-slide Delivery Map</w:t>
      </w:r>
      <w:bookmarkEnd w:id="1006"/>
    </w:p>
    <w:p>
      <w:pPr>
        <w:pStyle w:val="Heading2"/>
      </w:pPr>
      <w:r>
        <w:t>Network Fundamentals ·Slides16-161</w:t>
      </w:r>
    </w:p>
    <w:p>
      <w:pPr>
        <w:spacing w:after="140"/>
      </w:pPr>
      <w:r>
        <w:t>Current v1.1 weighting 20%. Teach boundaries, runtime, exact contract, failure/control and verification for each topic. The deck contains five-slide technical units;trainer uses full exhibits and questions to test 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  <w:sz w:val="18"/>
              </w:rPr>
              <w:t>Technical unit</w:t>
            </w:r>
          </w:p>
        </w:tc>
        <w:tc>
          <w:tcPr>
            <w:tcW w:type="dxa" w:w="5083"/>
          </w:tcPr>
          <w:p>
            <w:r>
              <w:rPr>
                <w:b/>
                <w:sz w:val="18"/>
              </w:rPr>
              <w:t>Slides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Frame and packet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17-21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Router and switch forwarding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22-26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Firewall and IPS control points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27-31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Wireless controller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32-36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Endpoint and server dependencies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37-41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PoE power budgets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42-46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Two-tier and three-tier paths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47-51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Spine-leaf forwarding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52-56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WAN and SOHO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57-61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Cloud and on-premises ownership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62-66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Copper and optical link contracts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67-71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Duplex and interface errors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72-76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TCP session state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77-81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UDP delivery and application recovery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82-86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IPv4 subnet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87-91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VLSM address allocation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92-96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Private and public addressing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97-101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IPv6 address types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102-106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IPv6 neighbor and SLAAC state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107-111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Wireless channel and virtual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112-116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IPv6 interface and anycast contracts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117-121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VRF routing isolation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122-126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MAC aging and unknown-unicast scope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127-131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Modified EUI-64 address construction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132-136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Hypervisor VM and container isolation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137-141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RF link-budget and interference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142-146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Cross-platform client diagnostics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147-151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Five equal subnets from a /24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152-156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Single-mode versus multimode optical paths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157-161</w:t>
            </w:r>
          </w:p>
        </w:tc>
      </w:tr>
    </w:tbl>
    <w:p>
      <w:pPr>
        <w:pStyle w:val="Heading2"/>
      </w:pPr>
      <w:r>
        <w:t>Network Access ·Slides163-283</w:t>
      </w:r>
    </w:p>
    <w:p>
      <w:pPr>
        <w:spacing w:after="140"/>
      </w:pPr>
      <w:r>
        <w:t>Current v1.1 weighting 20%. Teach boundaries, runtime, exact contract, failure/control and verification for each topic. The deck contains five-slide technical units;trainer uses full exhibits and questions to test 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  <w:sz w:val="18"/>
              </w:rPr>
              <w:t>Technical unit</w:t>
            </w:r>
          </w:p>
        </w:tc>
        <w:tc>
          <w:tcPr>
            <w:tcW w:type="dxa" w:w="5083"/>
          </w:tcPr>
          <w:p>
            <w:r>
              <w:rPr>
                <w:b/>
                <w:sz w:val="18"/>
              </w:rPr>
              <w:t>Slides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Access VLAN membership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164-168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Voice and data separation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169-173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802.1Q trunk tagging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174-178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Native VLAN consistency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179-183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Trunk negotiation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184-188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Router-on-a-stick paths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189-193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Multilayer SVI routing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194-198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CDP neighbor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199-203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LLDP interoperable discovery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204-208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LACP channel negotiation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209-213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EtherChannel load distribution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214-218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STP root bridge election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219-223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STP root and designated ports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224-228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Rapid PVST convergence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229-233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PortFast and BPDU guard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234-238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Root guard boundary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239-243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Loop guard and BPDU filter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244-248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AP modes and WLAN transport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249-253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WLAN GUI policy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254-258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Wireless management reachability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259-263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Layer 3 LACP port-channel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264-268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Default and normal-range VLAN contracts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269-273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AP and WLC physical attachments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274-278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WLAN QoS and advanced-policy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279-283</w:t>
            </w:r>
          </w:p>
        </w:tc>
      </w:tr>
    </w:tbl>
    <w:p>
      <w:pPr>
        <w:pStyle w:val="Heading2"/>
      </w:pPr>
      <w:r>
        <w:t>IP Connectivity ·Slides284-414</w:t>
      </w:r>
    </w:p>
    <w:p>
      <w:pPr>
        <w:spacing w:after="140"/>
      </w:pPr>
      <w:r>
        <w:t>Current v1.1 weighting 25%. Teach boundaries, runtime, exact contract, failure/control and verification for each topic. The deck contains five-slide technical units;trainer uses full exhibits and questions to test 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  <w:sz w:val="18"/>
              </w:rPr>
              <w:t>Technical unit</w:t>
            </w:r>
          </w:p>
        </w:tc>
        <w:tc>
          <w:tcPr>
            <w:tcW w:type="dxa" w:w="5083"/>
          </w:tcPr>
          <w:p>
            <w:r>
              <w:rPr>
                <w:b/>
                <w:sz w:val="18"/>
              </w:rPr>
              <w:t>Slides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Route-table field interpretation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285-289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Longest-prefix matching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290-294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Administrative distance selection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295-299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Metric comparison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300-304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Connected and local routes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305-309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Static next-hop recursion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310-314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Fully specified static routes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315-319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Default IPv4 routing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320-324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Host-specific static routes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325-329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Floating static backup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330-334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IPv6 static-route scope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335-339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IPv6 default and host routes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340-344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process and area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345-349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interface activation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350-354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router ID selection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355-359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Hello compatibility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360-364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neighbor state exchange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365-369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point-to-point operation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370-374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DR and BDR election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375-379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cost calculation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380-384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LSA and SPF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385-389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OSPF failure diagnosis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390-394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Equal-cost multipath forwarding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395-399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FHRP virtual-gateway ownership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400-404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End-to-end routed fault isolation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405-409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IPv6 floating static failover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410-414</w:t>
            </w:r>
          </w:p>
        </w:tc>
      </w:tr>
    </w:tbl>
    <w:p>
      <w:pPr>
        <w:pStyle w:val="Heading2"/>
      </w:pPr>
      <w:r>
        <w:t>IP Services ·Slides415-480</w:t>
      </w:r>
    </w:p>
    <w:p>
      <w:pPr>
        <w:spacing w:after="140"/>
      </w:pPr>
      <w:r>
        <w:t>Current v1.1 weighting 10%. Teach boundaries, runtime, exact contract, failure/control and verification for each topic. The deck contains five-slide technical units;trainer uses full exhibits and questions to test 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  <w:sz w:val="18"/>
              </w:rPr>
              <w:t>Technical unit</w:t>
            </w:r>
          </w:p>
        </w:tc>
        <w:tc>
          <w:tcPr>
            <w:tcW w:type="dxa" w:w="5083"/>
          </w:tcPr>
          <w:p>
            <w:r>
              <w:rPr>
                <w:b/>
                <w:sz w:val="18"/>
              </w:rPr>
              <w:t>Slides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Static NAT mapping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416-420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Dynamic NAT pool allocation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421-425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PAT port disambiguation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426-430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NTP synchronization hierarchy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431-435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DHCP DORA allocation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436-440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DHCP relay and client roles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441-445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DNS record and cache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446-450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SNMP manager and agent state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451-455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Syslog severity and facility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456-460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QoS classification and management transfer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461-465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NTP server and client association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466-470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IOS DHCP client interface state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471-475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QoS congestion decisions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476-480</w:t>
            </w:r>
          </w:p>
        </w:tc>
      </w:tr>
    </w:tbl>
    <w:p>
      <w:pPr>
        <w:pStyle w:val="Heading2"/>
      </w:pPr>
      <w:r>
        <w:t>Security Fundamentals ·Slides481-571</w:t>
      </w:r>
    </w:p>
    <w:p>
      <w:pPr>
        <w:spacing w:after="140"/>
      </w:pPr>
      <w:r>
        <w:t>Current v1.1 weighting 15%. Teach boundaries, runtime, exact contract, failure/control and verification for each topic. The deck contains five-slide technical units;trainer uses full exhibits and questions to test 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  <w:sz w:val="18"/>
              </w:rPr>
              <w:t>Technical unit</w:t>
            </w:r>
          </w:p>
        </w:tc>
        <w:tc>
          <w:tcPr>
            <w:tcW w:type="dxa" w:w="5083"/>
          </w:tcPr>
          <w:p>
            <w:r>
              <w:rPr>
                <w:b/>
                <w:sz w:val="18"/>
              </w:rPr>
              <w:t>Slides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Threat-vulnerability-exploit chain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482-486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Security program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487-491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Local user and enable secrets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492-496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SSH management prerequisites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497-501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Password and MFA policy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502-506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AAA responsibility split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507-511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RADIUS and TACACS+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512-516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Site-to-site IPsec trust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517-521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Remote-access VPN roles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522-526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Standard ACL source matching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527-531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Extended ACL tuple control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532-536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ACL wildcard mathematics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537-541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Port-security admission and violations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542-546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DHCP snooping and ARP inspection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547-551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Wireless WPA and authentication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552-556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Physical access and identity controls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557-561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WPA lineage and WPA2 PSK WLAN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562-566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IPsec tunnel and transport boundaries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567-571</w:t>
            </w:r>
          </w:p>
        </w:tc>
      </w:tr>
    </w:tbl>
    <w:p>
      <w:pPr>
        <w:pStyle w:val="Heading2"/>
      </w:pPr>
      <w:r>
        <w:t>Automation and Programmability ·Slides572-622</w:t>
      </w:r>
    </w:p>
    <w:p>
      <w:pPr>
        <w:spacing w:after="140"/>
      </w:pPr>
      <w:r>
        <w:t>Current v1.1 weighting 10%. Teach boundaries, runtime, exact contract, failure/control and verification for each topic. The deck contains five-slide technical units;trainer uses full exhibits and questions to test 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  <w:sz w:val="18"/>
              </w:rPr>
              <w:t>Technical unit</w:t>
            </w:r>
          </w:p>
        </w:tc>
        <w:tc>
          <w:tcPr>
            <w:tcW w:type="dxa" w:w="5083"/>
          </w:tcPr>
          <w:p>
            <w:r>
              <w:rPr>
                <w:b/>
                <w:sz w:val="18"/>
              </w:rPr>
              <w:t>Slides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Traditional and controller operation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573-577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Control and data plane separation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578-582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Overlay underlay and fabric roles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583-587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REST resource and HTTP verbs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588-592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REST authentication and HTTPS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593-597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JSON typed data contracts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598-602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Ansible desired configuration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603-607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Terraform plan and state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608-612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Generative and predictive AI evidence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613-617</w:t>
            </w:r>
          </w:p>
        </w:tc>
      </w:tr>
      <w:tr>
        <w:tc>
          <w:tcPr>
            <w:tcW w:type="dxa" w:w="5083"/>
          </w:tcPr>
          <w:p>
            <w:r>
              <w:rPr>
                <w:b w:val="0"/>
                <w:sz w:val="18"/>
              </w:rPr>
              <w:t>Automation change verification</w:t>
            </w:r>
          </w:p>
        </w:tc>
        <w:tc>
          <w:tcPr>
            <w:tcW w:type="dxa" w:w="5083"/>
          </w:tcPr>
          <w:p>
            <w:r>
              <w:rPr>
                <w:b w:val="0"/>
                <w:sz w:val="18"/>
              </w:rPr>
              <w:t>618-622</w:t>
            </w:r>
          </w:p>
        </w:tc>
      </w:tr>
    </w:tbl>
    <w:p>
      <w:bookmarkStart w:id="1007" w:name="course_toc_8"/>
      <w:pPr>
        <w:pStyle w:val="Heading1"/>
      </w:pPr>
      <w:r>
        <w:t>Activity Delivery and Acceptance</w:t>
      </w:r>
      <w:bookmarkEnd w:id="1007"/>
    </w:p>
    <w:p>
      <w:pPr>
        <w:pStyle w:val="Heading2"/>
      </w:pPr>
      <w:r>
        <w:t>Activity1 — Addressing and endpoint paths ·Slide701</w:t>
      </w:r>
    </w:p>
    <w:p>
      <w:pPr>
        <w:spacing w:after="140"/>
      </w:pPr>
      <w:r>
        <w:t>Allocate non-overlapping VLSM subnets and explain remote packet versus next-hop frame addressing.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Activity2 — Physical and VLAN evidence ·Slide702</w:t>
      </w:r>
    </w:p>
    <w:p>
      <w:pPr>
        <w:spacing w:after="140"/>
      </w:pPr>
      <w:r>
        <w:t>Use interface counter deltas and endpoint VLAN membership to separate physical faults from segmentation errors.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Activity3 — Trunks and inter-VLAN routing ·Slide703</w:t>
      </w:r>
    </w:p>
    <w:p>
      <w:pPr>
        <w:spacing w:after="140"/>
      </w:pPr>
      <w:r>
        <w:t>Diagnose a missing allowed VLAN and native VLAN mismatch, then verify SVI gateway mapping.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Activity4 — EtherChannel and STP resilience ·Slide704</w:t>
      </w:r>
    </w:p>
    <w:p>
      <w:pPr>
        <w:spacing w:after="140"/>
      </w:pPr>
      <w:r>
        <w:t>Check LACP negotiation and spanning-tree redundancy without confusing blocked paths with failed links.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Activity5 — Wireless WLAN and policy mapping ·Slide705</w:t>
      </w:r>
    </w:p>
    <w:p>
      <w:pPr>
        <w:spacing w:after="140"/>
      </w:pPr>
      <w:r>
        <w:t>Connect SSID, authentication, VLAN and client addressing while inspecting RF channel and WLC data-path choices.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Activity6 — Static routing and IPv6 ·Slide706</w:t>
      </w:r>
    </w:p>
    <w:p>
      <w:pPr>
        <w:spacing w:after="140"/>
      </w:pPr>
      <w:r>
        <w:t>Apply longest-prefix match, a floating route and interface-scoped IPv6 link-local next hops.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Activity7 — OSPF and gateway failover ·Slide707</w:t>
      </w:r>
    </w:p>
    <w:p>
      <w:pPr>
        <w:spacing w:after="140"/>
      </w:pPr>
      <w:r>
        <w:t>Diagnose OSPF adjacency, path costs and a virtual gateway; distinguish current v1.1 FHRP explanation from refresh practice.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Activity8 — NAT DHCP DNS and time ·Slide708</w:t>
      </w:r>
    </w:p>
    <w:p>
      <w:pPr>
        <w:spacing w:after="140"/>
      </w:pPr>
      <w:r>
        <w:t>Correlate translated transport tuples, DHCP scope options, DNS records and synchronized logging.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Activity9 — ACL and secure management ·Slide709</w:t>
      </w:r>
    </w:p>
    <w:p>
      <w:pPr>
        <w:spacing w:after="140"/>
      </w:pPr>
      <w:r>
        <w:t>Evaluate ordered ACL rules and secure VTY access, including AAA client/server roles and safe fallback.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Activity10 — Layer2 and wireless security ·Slide710</w:t>
      </w:r>
    </w:p>
    <w:p>
      <w:pPr>
        <w:spacing w:after="140"/>
      </w:pPr>
      <w:r>
        <w:t>Map trusted infrastructure ports and untrusted edge ports to DHCP snooping, DAI, port security and wireless authentication.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Activity11 — REST JSON and configuration automation ·Slide711</w:t>
      </w:r>
    </w:p>
    <w:p>
      <w:pPr>
        <w:spacing w:after="140"/>
      </w:pPr>
      <w:r>
        <w:t>Validate REST status and JSON types, produce an idempotent plan and select a bounded agentic AI prompt.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pPr>
        <w:pStyle w:val="Heading2"/>
      </w:pPr>
      <w:r>
        <w:t>Activity12 — Integrated incident and change verification ·Slide712</w:t>
      </w:r>
    </w:p>
    <w:p>
      <w:pPr>
        <w:spacing w:after="140"/>
      </w:pPr>
      <w:r>
        <w:t>Use time-correlated service evidence to isolate a trunk fault and verify a narrow change with regression tests and rollback.</w:t>
      </w:r>
    </w:p>
    <w:p>
      <w:pPr>
        <w:spacing w:after="140"/>
      </w:pPr>
      <w:r>
        <w:t>Offline checker validates synthetic fixtures only. Trainer separately observes simulator/hardware operation, configuration evidence, diagnosis and safe-change discipline. Use the independent folder instructions and checklist to record acceptance.</w:t>
      </w:r>
    </w:p>
    <w:p>
      <w:bookmarkStart w:id="1008" w:name="course_toc_9"/>
      <w:pPr>
        <w:pStyle w:val="Heading1"/>
      </w:pPr>
      <w:r>
        <w:t>Announced v2.0 Transition and Final Revision</w:t>
      </w:r>
      <w:bookmarkEnd w:id="1008"/>
    </w:p>
    <w:p>
      <w:pPr>
        <w:spacing w:after="140"/>
      </w:pPr>
      <w:r>
        <w:t>Slides 625-700. Effective 3 February 2027;use current v1.1 weighting until 2 February 2027. Include new operational objectives without mislabelling existing EUI-64, L3 LACP or virtualization as new-only.</w:t>
      </w:r>
    </w:p>
    <w:p>
      <w:pPr>
        <w:spacing w:after="140"/>
      </w:pPr>
      <w:r>
        <w:t>External practice exam at end: https://exams.tertiaryinfotech.com/practice-exams/cisco/cisco-ccna. Practice-site threshold is separate from Cisco certification and WSQ competency criteria.</w:t>
      </w:r>
    </w:p>
    <w:p>
      <w:bookmarkStart w:id="1009" w:name="course_toc_10"/>
      <w:pPr>
        <w:pStyle w:val="Heading1"/>
      </w:pPr>
      <w:r>
        <w:t>Assessment Administration</w:t>
      </w:r>
      <w:bookmarkEnd w:id="1009"/>
    </w:p>
    <w:p>
      <w:pPr>
        <w:spacing w:after="140"/>
      </w:pPr>
      <w:r>
        <w:t>Digital attendance -&gt; assessment attendance -&gt; WA then PP -&gt; LMS submission -&gt; signed Assessment Summary Record. TRAQOM is a separate quality/outcomes feedback survey. Keep answer keys private. Do not substitute activity fixture output for assessed performance.</w:t>
      </w:r>
    </w:p>
    <w:sectPr w:rsidR="00FC693F" w:rsidRPr="0006063C" w:rsidSect="00034616"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