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AI Vibe Coding with C#</w:t>
      </w:r>
    </w:p>
    <w:p>
      <w:pPr>
        <w:spacing w:before="80" w:after="280"/>
        <w:jc w:val="center"/>
      </w:pPr>
      <w:r>
        <w:rPr>
          <w:b w:val="0"/>
          <w:color w:val="111827"/>
          <w:sz w:val="24"/>
        </w:rPr>
        <w:t>TGS Ref No: TGS-2023039178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v7.0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shd w:val="clear" w:color="auto" w:fill="1F6FEB"/>
          </w:tcPr>
          <w:p>
            <w:r/>
            <w:r>
              <w:rPr>
                <w:b/>
                <w:color w:val="FFFFFF"/>
                <w:sz w:val="19"/>
              </w:rPr>
              <w:t>Version Number</w:t>
            </w:r>
          </w:p>
        </w:tc>
        <w:tc>
          <w:tcPr>
            <w:tcW w:type="dxa" w:w="2437"/>
            <w:shd w:val="clear" w:color="auto" w:fill="1F6FEB"/>
          </w:tcPr>
          <w:p>
            <w:r/>
            <w:r>
              <w:rPr>
                <w:b/>
                <w:color w:val="FFFFFF"/>
                <w:sz w:val="19"/>
              </w:rPr>
              <w:t>Effective Date of Release</w:t>
            </w:r>
          </w:p>
        </w:tc>
        <w:tc>
          <w:tcPr>
            <w:tcW w:type="dxa" w:w="2437"/>
            <w:shd w:val="clear" w:color="auto" w:fill="1F6FEB"/>
          </w:tcPr>
          <w:p>
            <w:r/>
            <w:r>
              <w:rPr>
                <w:b/>
                <w:color w:val="FFFFFF"/>
                <w:sz w:val="19"/>
              </w:rPr>
              <w:t>Summary of Included Changes</w:t>
            </w:r>
          </w:p>
        </w:tc>
        <w:tc>
          <w:tcPr>
            <w:tcW w:type="dxa" w:w="2437"/>
            <w:shd w:val="clear" w:color="auto" w:fill="1F6FEB"/>
          </w:tcPr>
          <w:p>
            <w:r/>
            <w:r>
              <w:rPr>
                <w:b/>
                <w:color w:val="FFFFFF"/>
                <w:sz w:val="19"/>
              </w:rPr>
              <w:t>Author</w:t>
            </w:r>
          </w:p>
        </w:tc>
      </w:tr>
      <w:tr>
        <w:tc>
          <w:tcPr>
            <w:tcW w:type="dxa" w:w="2437"/>
          </w:tcPr>
          <w:p>
            <w:r/>
            <w:r>
              <w:rPr>
                <w:sz w:val="19"/>
              </w:rPr>
              <w:t>6.0</w:t>
            </w:r>
          </w:p>
        </w:tc>
        <w:tc>
          <w:tcPr>
            <w:tcW w:type="dxa" w:w="2437"/>
          </w:tcPr>
          <w:p>
            <w:r/>
            <w:r>
              <w:rPr>
                <w:sz w:val="19"/>
              </w:rPr>
              <w:t>Date not stated in original PPT</w:t>
            </w:r>
          </w:p>
        </w:tc>
        <w:tc>
          <w:tcPr>
            <w:tcW w:type="dxa" w:w="2437"/>
          </w:tcPr>
          <w:p>
            <w:r/>
            <w:r>
              <w:rPr>
                <w:sz w:val="19"/>
              </w:rPr>
              <w:t>Legacy content reference; original instructional topics retained.</w:t>
            </w:r>
          </w:p>
        </w:tc>
        <w:tc>
          <w:tcPr>
            <w:tcW w:type="dxa" w:w="2437"/>
          </w:tcPr>
          <w:p>
            <w:r/>
            <w:r>
              <w:rPr>
                <w:sz w:val="19"/>
              </w:rPr>
              <w:t>Original source</w:t>
            </w:r>
          </w:p>
        </w:tc>
      </w:tr>
      <w:tr>
        <w:tc>
          <w:tcPr>
            <w:tcW w:type="dxa" w:w="2437"/>
          </w:tcPr>
          <w:p>
            <w:r/>
            <w:r>
              <w:rPr>
                <w:sz w:val="19"/>
              </w:rPr>
              <w:t>7.0</w:t>
            </w:r>
          </w:p>
        </w:tc>
        <w:tc>
          <w:tcPr>
            <w:tcW w:type="dxa" w:w="2437"/>
          </w:tcPr>
          <w:p>
            <w:r/>
            <w:r>
              <w:rPr>
                <w:sz w:val="19"/>
              </w:rPr>
              <w:t>13 September 2026</w:t>
            </w:r>
          </w:p>
        </w:tc>
        <w:tc>
          <w:tcPr>
            <w:tcW w:type="dxa" w:w="2437"/>
          </w:tcPr>
          <w:p>
            <w:r/>
            <w:r>
              <w:rPr>
                <w:sz w:val="19"/>
              </w:rPr>
              <w:t>Rebuilt visual deck; corrected stale claims and wrong-course LOs; added ten C# activities, vibe prompts, tests, design and documentation depth. PPT/LG/LP/activities revised.</w:t>
            </w:r>
          </w:p>
        </w:tc>
        <w:tc>
          <w:tcPr>
            <w:tcW w:type="dxa" w:w="2437"/>
          </w:tcPr>
          <w:p>
            <w:r/>
            <w:r>
              <w:rPr>
                <w:sz w:val="19"/>
              </w:rPr>
              <w:t>Dr Alfred Ang</w:t>
            </w:r>
          </w:p>
        </w:tc>
      </w:tr>
    </w:tbl>
    <w:p>
      <w:r>
        <w:br w:type="page"/>
      </w:r>
    </w:p>
    <w:p>
      <w:pPr>
        <w:spacing w:after="120"/>
      </w:pPr>
      <w:r>
        <w:rPr>
          <w:b/>
          <w:color w:val="111827"/>
          <w:sz w:val="24"/>
        </w:rPr>
        <w:t>TABLE OF CONTENTS</w:t>
      </w:r>
    </w:p>
    <w:p>
      <w:pPr>
        <w:tabs>
          <w:tab w:pos="9072" w:val="right" w:leader="dot"/>
        </w:tabs>
        <w:spacing w:after="100"/>
      </w:pPr>
      <w:r>
        <w:fldChar w:fldCharType="begin"/>
        <w:instrText>TOC \o "1-1" \h \z \u</w:instrText>
        <w:fldChar w:fldCharType="separate"/>
      </w:r>
      <w:r>
        <w:rPr>
          <w:rFonts w:ascii="Arial" w:hAnsi="Arial"/>
          <w:sz w:val="22"/>
        </w:rPr>
        <w:t>Course information</w:t>
        <w:tab/>
        <w:t>4</w:t>
      </w:r>
    </w:p>
    <w:p>
      <w:pPr>
        <w:tabs>
          <w:tab w:pos="9072" w:val="right" w:leader="dot"/>
        </w:tabs>
        <w:spacing w:after="100"/>
      </w:pPr>
      <w:r>
        <w:rPr>
          <w:rFonts w:ascii="Arial" w:hAnsi="Arial"/>
          <w:sz w:val="22"/>
        </w:rPr>
        <w:t>Learning outcomes and competency mapping</w:t>
        <w:tab/>
        <w:t>4</w:t>
      </w:r>
    </w:p>
    <w:p>
      <w:pPr>
        <w:tabs>
          <w:tab w:pos="9072" w:val="right" w:leader="dot"/>
        </w:tabs>
        <w:spacing w:after="100"/>
      </w:pPr>
      <w:r>
        <w:rPr>
          <w:rFonts w:ascii="Arial" w:hAnsi="Arial"/>
          <w:sz w:val="22"/>
        </w:rPr>
        <w:t>Teaching methods and evidence</w:t>
        <w:tab/>
        <w:t>4</w:t>
      </w:r>
    </w:p>
    <w:p>
      <w:pPr>
        <w:tabs>
          <w:tab w:pos="9072" w:val="right" w:leader="dot"/>
        </w:tabs>
        <w:spacing w:after="100"/>
      </w:pPr>
      <w:r>
        <w:rPr>
          <w:rFonts w:ascii="Arial" w:hAnsi="Arial"/>
          <w:sz w:val="22"/>
        </w:rPr>
        <w:t>Day 1 schedule</w:t>
        <w:tab/>
        <w:t>4</w:t>
      </w:r>
    </w:p>
    <w:p>
      <w:pPr>
        <w:tabs>
          <w:tab w:pos="9072" w:val="right" w:leader="dot"/>
        </w:tabs>
        <w:spacing w:after="100"/>
      </w:pPr>
      <w:r>
        <w:rPr>
          <w:rFonts w:ascii="Arial" w:hAnsi="Arial"/>
          <w:sz w:val="22"/>
        </w:rPr>
        <w:t>Day 2 schedule</w:t>
        <w:tab/>
        <w:t>4</w:t>
      </w:r>
    </w:p>
    <w:p>
      <w:pPr>
        <w:tabs>
          <w:tab w:pos="9072" w:val="right" w:leader="dot"/>
        </w:tabs>
        <w:spacing w:after="100"/>
      </w:pPr>
      <w:r>
        <w:rPr>
          <w:rFonts w:ascii="Arial" w:hAnsi="Arial"/>
          <w:sz w:val="22"/>
        </w:rPr>
        <w:t>Activity-to-slide reference</w:t>
        <w:tab/>
        <w:t>5</w:t>
      </w:r>
    </w:p>
    <w:p>
      <w:pPr>
        <w:tabs>
          <w:tab w:pos="9072" w:val="right" w:leader="dot"/>
        </w:tabs>
        <w:spacing w:after="100"/>
      </w:pPr>
      <w:r>
        <w:rPr>
          <w:rFonts w:ascii="Arial" w:hAnsi="Arial"/>
          <w:sz w:val="22"/>
        </w:rPr>
        <w:t>Assessment instruments and original contract</w:t>
        <w:tab/>
        <w:t>5</w:t>
      </w:r>
    </w:p>
    <w:p>
      <w:pPr>
        <w:tabs>
          <w:tab w:pos="9072" w:val="right" w:leader="dot"/>
        </w:tabs>
        <w:spacing w:after="100"/>
      </w:pPr>
      <w:r>
        <w:rPr>
          <w:rFonts w:ascii="Arial" w:hAnsi="Arial"/>
          <w:sz w:val="22"/>
        </w:rPr>
        <w:t>Facilitator preparation and review</w:t>
        <w:tab/>
        <w:t>5</w:t>
      </w:r>
    </w:p>
    <w:p>
      <w:pPr>
        <w:tabs>
          <w:tab w:pos="9072" w:val="right" w:leader="dot"/>
        </w:tabs>
        <w:spacing w:after="100"/>
      </w:pPr>
      <w:r>
        <w:rPr>
          <w:rFonts w:ascii="Arial" w:hAnsi="Arial"/>
          <w:sz w:val="22"/>
        </w:rPr>
        <w:t>Sources and change control</w:t>
        <w:tab/>
        <w:t>5</w:t>
      </w:r>
      <w:r>
        <w:fldChar w:fldCharType="end"/>
      </w:r>
    </w:p>
    <w:p>
      <w:r>
        <w:br w:type="page"/>
      </w:r>
    </w:p>
    <w:p>
      <w:pPr>
        <w:pStyle w:val="Heading1"/>
      </w:pPr>
      <w:r>
        <w:t>Course information</w:t>
      </w:r>
    </w:p>
    <w:p>
      <w:r>
        <w:t>AI Vibe Coding with C# · TGS-2023039178 · ICT-DES-3005-1.1 Software Design Level 3. Two days / 16 contact hours = 7 classroom + 7 practical + 2 assessment. Lunch excluded; there is no separate break counted as instruction.</w:t>
      </w:r>
    </w:p>
    <w:p>
      <w:pPr>
        <w:pStyle w:val="Heading1"/>
      </w:pPr>
      <w:r>
        <w:t>Learning outcomes and competency mapping</w:t>
      </w:r>
    </w:p>
    <w:tbl>
      <w:tblPr>
        <w:tblStyle w:val="TableGrid"/>
        <w:tblW w:type="auto" w:w="0"/>
        <w:tblLook w:firstColumn="1" w:firstRow="1" w:lastColumn="0" w:lastRow="0" w:noHBand="0" w:noVBand="1" w:val="04A0"/>
      </w:tblPr>
      <w:tblGrid>
        <w:gridCol w:w="4874"/>
        <w:gridCol w:w="4874"/>
      </w:tblGrid>
      <w:tr>
        <w:trPr>
          <w:cantSplit/>
        </w:trPr>
        <w:tc>
          <w:tcPr>
            <w:tcW w:type="dxa" w:w="4874"/>
            <w:shd w:val="clear" w:color="auto" w:fill="E8F0FE"/>
          </w:tcPr>
          <w:p>
            <w:r>
              <w:rPr>
                <w:sz w:val="18"/>
              </w:rPr>
              <w:t>Outcome</w:t>
            </w:r>
          </w:p>
        </w:tc>
        <w:tc>
          <w:tcPr>
            <w:tcW w:type="dxa" w:w="4874"/>
            <w:shd w:val="clear" w:color="auto" w:fill="E8F0FE"/>
          </w:tcPr>
          <w:p>
            <w:r>
              <w:rPr>
                <w:sz w:val="18"/>
              </w:rPr>
              <w:t>Knowledge / ability</w:t>
            </w:r>
          </w:p>
        </w:tc>
      </w:tr>
      <w:tr>
        <w:trPr>
          <w:cantSplit/>
        </w:trPr>
        <w:tc>
          <w:tcPr>
            <w:tcW w:type="dxa" w:w="4874"/>
          </w:tcPr>
          <w:p>
            <w:r>
              <w:rPr>
                <w:sz w:val="18"/>
              </w:rPr>
              <w:t>LO1: Determine basic software components using C# methodologies to meet functional specifications.</w:t>
            </w:r>
          </w:p>
        </w:tc>
        <w:tc>
          <w:tcPr>
            <w:tcW w:type="dxa" w:w="4874"/>
          </w:tcPr>
          <w:p>
            <w:r>
              <w:rPr>
                <w:sz w:val="18"/>
              </w:rPr>
              <w:t>K1 / A1</w:t>
            </w:r>
          </w:p>
        </w:tc>
      </w:tr>
      <w:tr>
        <w:trPr>
          <w:cantSplit/>
        </w:trPr>
        <w:tc>
          <w:tcPr>
            <w:tcW w:type="dxa" w:w="4874"/>
          </w:tcPr>
          <w:p>
            <w:r>
              <w:rPr>
                <w:sz w:val="18"/>
              </w:rPr>
              <w:t>LO2: Apply C# methodologies and tools for software creation.</w:t>
            </w:r>
          </w:p>
        </w:tc>
        <w:tc>
          <w:tcPr>
            <w:tcW w:type="dxa" w:w="4874"/>
          </w:tcPr>
          <w:p>
            <w:r>
              <w:rPr>
                <w:sz w:val="18"/>
              </w:rPr>
              <w:t>K2 / A2</w:t>
            </w:r>
          </w:p>
        </w:tc>
      </w:tr>
      <w:tr>
        <w:trPr>
          <w:cantSplit/>
        </w:trPr>
        <w:tc>
          <w:tcPr>
            <w:tcW w:type="dxa" w:w="4874"/>
          </w:tcPr>
          <w:p>
            <w:r>
              <w:rPr>
                <w:sz w:val="18"/>
              </w:rPr>
              <w:t>LO3: Select essential C# controls and features to meet software design requirements.</w:t>
            </w:r>
          </w:p>
        </w:tc>
        <w:tc>
          <w:tcPr>
            <w:tcW w:type="dxa" w:w="4874"/>
          </w:tcPr>
          <w:p>
            <w:r>
              <w:rPr>
                <w:sz w:val="18"/>
              </w:rPr>
              <w:t>K3 / A3</w:t>
            </w:r>
          </w:p>
        </w:tc>
      </w:tr>
      <w:tr>
        <w:trPr>
          <w:cantSplit/>
        </w:trPr>
        <w:tc>
          <w:tcPr>
            <w:tcW w:type="dxa" w:w="4874"/>
          </w:tcPr>
          <w:p>
            <w:r>
              <w:rPr>
                <w:sz w:val="18"/>
              </w:rPr>
              <w:t>LO4: Examine the interoperability and functionality of C# software components.</w:t>
            </w:r>
          </w:p>
        </w:tc>
        <w:tc>
          <w:tcPr>
            <w:tcW w:type="dxa" w:w="4874"/>
          </w:tcPr>
          <w:p>
            <w:r>
              <w:rPr>
                <w:sz w:val="18"/>
              </w:rPr>
              <w:t>K4 / A4</w:t>
            </w:r>
          </w:p>
        </w:tc>
      </w:tr>
      <w:tr>
        <w:trPr>
          <w:cantSplit/>
        </w:trPr>
        <w:tc>
          <w:tcPr>
            <w:tcW w:type="dxa" w:w="4874"/>
          </w:tcPr>
          <w:p>
            <w:r>
              <w:rPr>
                <w:sz w:val="18"/>
              </w:rPr>
              <w:t>LO5: Generate C# design documentation aligned with user specifications.</w:t>
            </w:r>
          </w:p>
        </w:tc>
        <w:tc>
          <w:tcPr>
            <w:tcW w:type="dxa" w:w="4874"/>
          </w:tcPr>
          <w:p>
            <w:r>
              <w:rPr>
                <w:sz w:val="18"/>
              </w:rPr>
              <w:t>K5 / A5</w:t>
            </w:r>
          </w:p>
        </w:tc>
      </w:tr>
    </w:tbl>
    <w:p>
      <w:pPr>
        <w:pStyle w:val="Heading1"/>
      </w:pPr>
      <w:r>
        <w:t>Teaching methods and evidence</w:t>
      </w:r>
    </w:p>
    <w:p>
      <w:r>
        <w:t>Each topic alternates a technical demonstration, didactic questions and independent activity. Review a concrete specification, code excerpt, design decision, failure path and test output. Activities are progressive and AI use is optional. Assess understanding by asking the learner to explain the invariant and reproduce a rejected path.</w:t>
      </w:r>
    </w:p>
    <w:p>
      <w:pPr>
        <w:pStyle w:val="Heading1"/>
      </w:pPr>
      <w:r>
        <w:t>Day 1 schedule</w:t>
      </w:r>
    </w:p>
    <w:tbl>
      <w:tblPr>
        <w:tblStyle w:val="TableGrid"/>
        <w:tblW w:type="auto" w:w="0"/>
        <w:tblLook w:firstColumn="1" w:firstRow="1" w:lastColumn="0" w:lastRow="0" w:noHBand="0" w:noVBand="1" w:val="04A0"/>
      </w:tblPr>
      <w:tblGrid>
        <w:gridCol w:w="3250"/>
        <w:gridCol w:w="3250"/>
        <w:gridCol w:w="3250"/>
      </w:tblGrid>
      <w:tr>
        <w:trPr>
          <w:cantSplit/>
        </w:trPr>
        <w:tc>
          <w:tcPr>
            <w:tcW w:type="dxa" w:w="3250"/>
            <w:shd w:val="clear" w:color="auto" w:fill="E8F0FE"/>
          </w:tcPr>
          <w:p>
            <w:r>
              <w:rPr>
                <w:sz w:val="18"/>
              </w:rPr>
              <w:t>Time</w:t>
            </w:r>
          </w:p>
        </w:tc>
        <w:tc>
          <w:tcPr>
            <w:tcW w:type="dxa" w:w="3250"/>
            <w:shd w:val="clear" w:color="auto" w:fill="E8F0FE"/>
          </w:tcPr>
          <w:p>
            <w:r>
              <w:rPr>
                <w:sz w:val="18"/>
              </w:rPr>
              <w:t>Block</w:t>
            </w:r>
          </w:p>
        </w:tc>
        <w:tc>
          <w:tcPr>
            <w:tcW w:type="dxa" w:w="3250"/>
            <w:shd w:val="clear" w:color="auto" w:fill="E8F0FE"/>
          </w:tcPr>
          <w:p>
            <w:r>
              <w:rPr>
                <w:sz w:val="18"/>
              </w:rPr>
              <w:t>Duration / slides</w:t>
            </w:r>
          </w:p>
        </w:tc>
      </w:tr>
      <w:tr>
        <w:trPr>
          <w:cantSplit/>
        </w:trPr>
        <w:tc>
          <w:tcPr>
            <w:tcW w:type="dxa" w:w="3250"/>
          </w:tcPr>
          <w:p>
            <w:r>
              <w:rPr>
                <w:sz w:val="18"/>
              </w:rPr>
              <w:t>09:00–11:00</w:t>
            </w:r>
          </w:p>
        </w:tc>
        <w:tc>
          <w:tcPr>
            <w:tcW w:type="dxa" w:w="3250"/>
          </w:tcPr>
          <w:p>
            <w:r>
              <w:rPr>
                <w:sz w:val="18"/>
              </w:rPr>
              <w:t>Topic 1: 60 min classroom + Activities 1–2 (30 min each)</w:t>
            </w:r>
          </w:p>
        </w:tc>
        <w:tc>
          <w:tcPr>
            <w:tcW w:type="dxa" w:w="3250"/>
          </w:tcPr>
          <w:p>
            <w:r>
              <w:rPr>
                <w:sz w:val="18"/>
              </w:rPr>
              <w:t>120 min; slides 1–50</w:t>
            </w:r>
          </w:p>
        </w:tc>
      </w:tr>
      <w:tr>
        <w:trPr>
          <w:cantSplit/>
        </w:trPr>
        <w:tc>
          <w:tcPr>
            <w:tcW w:type="dxa" w:w="3250"/>
          </w:tcPr>
          <w:p>
            <w:r>
              <w:rPr>
                <w:sz w:val="18"/>
              </w:rPr>
              <w:t>11:00–13:00</w:t>
            </w:r>
          </w:p>
        </w:tc>
        <w:tc>
          <w:tcPr>
            <w:tcW w:type="dxa" w:w="3250"/>
          </w:tcPr>
          <w:p>
            <w:r>
              <w:rPr>
                <w:sz w:val="18"/>
              </w:rPr>
              <w:t>Topic 2: first 120 min of classroom/practical block</w:t>
            </w:r>
          </w:p>
        </w:tc>
        <w:tc>
          <w:tcPr>
            <w:tcW w:type="dxa" w:w="3250"/>
          </w:tcPr>
          <w:p>
            <w:r>
              <w:rPr>
                <w:sz w:val="18"/>
              </w:rPr>
              <w:t>120 min; slides 51–137</w:t>
            </w:r>
          </w:p>
        </w:tc>
      </w:tr>
      <w:tr>
        <w:trPr>
          <w:cantSplit/>
        </w:trPr>
        <w:tc>
          <w:tcPr>
            <w:tcW w:type="dxa" w:w="3250"/>
          </w:tcPr>
          <w:p>
            <w:r>
              <w:rPr>
                <w:sz w:val="18"/>
              </w:rPr>
              <w:t>13:00–14:00</w:t>
            </w:r>
          </w:p>
        </w:tc>
        <w:tc>
          <w:tcPr>
            <w:tcW w:type="dxa" w:w="3250"/>
          </w:tcPr>
          <w:p>
            <w:r>
              <w:rPr>
                <w:sz w:val="18"/>
              </w:rPr>
              <w:t>Lunch</w:t>
            </w:r>
          </w:p>
        </w:tc>
        <w:tc>
          <w:tcPr>
            <w:tcW w:type="dxa" w:w="3250"/>
          </w:tcPr>
          <w:p>
            <w:r>
              <w:rPr>
                <w:sz w:val="18"/>
              </w:rPr>
              <w:t>Excluded</w:t>
            </w:r>
          </w:p>
        </w:tc>
      </w:tr>
      <w:tr>
        <w:trPr>
          <w:cantSplit/>
        </w:trPr>
        <w:tc>
          <w:tcPr>
            <w:tcW w:type="dxa" w:w="3250"/>
          </w:tcPr>
          <w:p>
            <w:r>
              <w:rPr>
                <w:sz w:val="18"/>
              </w:rPr>
              <w:t>14:00–15:00</w:t>
            </w:r>
          </w:p>
        </w:tc>
        <w:tc>
          <w:tcPr>
            <w:tcW w:type="dxa" w:w="3250"/>
          </w:tcPr>
          <w:p>
            <w:r>
              <w:rPr>
                <w:sz w:val="18"/>
              </w:rPr>
              <w:t>Topic 2 completion: total classroom 90 min + Activities 3–4 (45 min each)</w:t>
            </w:r>
          </w:p>
        </w:tc>
        <w:tc>
          <w:tcPr>
            <w:tcW w:type="dxa" w:w="3250"/>
          </w:tcPr>
          <w:p>
            <w:r>
              <w:rPr>
                <w:sz w:val="18"/>
              </w:rPr>
              <w:t>60 min; same Topic 2 range</w:t>
            </w:r>
          </w:p>
        </w:tc>
      </w:tr>
      <w:tr>
        <w:trPr>
          <w:cantSplit/>
        </w:trPr>
        <w:tc>
          <w:tcPr>
            <w:tcW w:type="dxa" w:w="3250"/>
          </w:tcPr>
          <w:p>
            <w:r>
              <w:rPr>
                <w:sz w:val="18"/>
              </w:rPr>
              <w:t>15:00–18:00</w:t>
            </w:r>
          </w:p>
        </w:tc>
        <w:tc>
          <w:tcPr>
            <w:tcW w:type="dxa" w:w="3250"/>
          </w:tcPr>
          <w:p>
            <w:r>
              <w:rPr>
                <w:sz w:val="18"/>
              </w:rPr>
              <w:t>Topic 3: classroom 90 min + Activities 5–6 (45 min each)</w:t>
            </w:r>
          </w:p>
        </w:tc>
        <w:tc>
          <w:tcPr>
            <w:tcW w:type="dxa" w:w="3250"/>
          </w:tcPr>
          <w:p>
            <w:r>
              <w:rPr>
                <w:sz w:val="18"/>
              </w:rPr>
              <w:t>180 min; slides 138–176</w:t>
            </w:r>
          </w:p>
        </w:tc>
      </w:tr>
    </w:tbl>
    <w:p>
      <w:r>
        <w:t>Day 1 total: 480 contact minutes / 8 hours. Topics 1–3: 4 classroom hours + 4 practical hours.</w:t>
      </w:r>
    </w:p>
    <w:p>
      <w:pPr>
        <w:pStyle w:val="Heading1"/>
      </w:pPr>
      <w:r>
        <w:t>Day 2 schedule</w:t>
      </w:r>
    </w:p>
    <w:tbl>
      <w:tblPr>
        <w:tblStyle w:val="TableGrid"/>
        <w:tblW w:type="auto" w:w="0"/>
        <w:tblLook w:firstColumn="1" w:firstRow="1" w:lastColumn="0" w:lastRow="0" w:noHBand="0" w:noVBand="1" w:val="04A0"/>
      </w:tblPr>
      <w:tblGrid>
        <w:gridCol w:w="3250"/>
        <w:gridCol w:w="3250"/>
        <w:gridCol w:w="3250"/>
      </w:tblGrid>
      <w:tr>
        <w:trPr>
          <w:cantSplit/>
        </w:trPr>
        <w:tc>
          <w:tcPr>
            <w:tcW w:type="dxa" w:w="3250"/>
            <w:shd w:val="clear" w:color="auto" w:fill="E8F0FE"/>
          </w:tcPr>
          <w:p>
            <w:r>
              <w:rPr>
                <w:sz w:val="18"/>
              </w:rPr>
              <w:t>Time</w:t>
            </w:r>
          </w:p>
        </w:tc>
        <w:tc>
          <w:tcPr>
            <w:tcW w:type="dxa" w:w="3250"/>
            <w:shd w:val="clear" w:color="auto" w:fill="E8F0FE"/>
          </w:tcPr>
          <w:p>
            <w:r>
              <w:rPr>
                <w:sz w:val="18"/>
              </w:rPr>
              <w:t>Block</w:t>
            </w:r>
          </w:p>
        </w:tc>
        <w:tc>
          <w:tcPr>
            <w:tcW w:type="dxa" w:w="3250"/>
            <w:shd w:val="clear" w:color="auto" w:fill="E8F0FE"/>
          </w:tcPr>
          <w:p>
            <w:r>
              <w:rPr>
                <w:sz w:val="18"/>
              </w:rPr>
              <w:t>Duration / slides</w:t>
            </w:r>
          </w:p>
        </w:tc>
      </w:tr>
      <w:tr>
        <w:trPr>
          <w:cantSplit/>
        </w:trPr>
        <w:tc>
          <w:tcPr>
            <w:tcW w:type="dxa" w:w="3250"/>
          </w:tcPr>
          <w:p>
            <w:r>
              <w:rPr>
                <w:sz w:val="18"/>
              </w:rPr>
              <w:t>09:00–12:00</w:t>
            </w:r>
          </w:p>
        </w:tc>
        <w:tc>
          <w:tcPr>
            <w:tcW w:type="dxa" w:w="3250"/>
          </w:tcPr>
          <w:p>
            <w:r>
              <w:rPr>
                <w:sz w:val="18"/>
              </w:rPr>
              <w:t>Topic 4: classroom 90 min + Activities 7–8 (45 min each)</w:t>
            </w:r>
          </w:p>
        </w:tc>
        <w:tc>
          <w:tcPr>
            <w:tcW w:type="dxa" w:w="3250"/>
          </w:tcPr>
          <w:p>
            <w:r>
              <w:rPr>
                <w:sz w:val="18"/>
              </w:rPr>
              <w:t>180 min; slides 177–213</w:t>
            </w:r>
          </w:p>
        </w:tc>
      </w:tr>
      <w:tr>
        <w:trPr>
          <w:cantSplit/>
        </w:trPr>
        <w:tc>
          <w:tcPr>
            <w:tcW w:type="dxa" w:w="3250"/>
          </w:tcPr>
          <w:p>
            <w:r>
              <w:rPr>
                <w:sz w:val="18"/>
              </w:rPr>
              <w:t>12:00–13:00</w:t>
            </w:r>
          </w:p>
        </w:tc>
        <w:tc>
          <w:tcPr>
            <w:tcW w:type="dxa" w:w="3250"/>
          </w:tcPr>
          <w:p>
            <w:r>
              <w:rPr>
                <w:sz w:val="18"/>
              </w:rPr>
              <w:t>Topic 5 first 60 min</w:t>
            </w:r>
          </w:p>
        </w:tc>
        <w:tc>
          <w:tcPr>
            <w:tcW w:type="dxa" w:w="3250"/>
          </w:tcPr>
          <w:p>
            <w:r>
              <w:rPr>
                <w:sz w:val="18"/>
              </w:rPr>
              <w:t>60 min; slides 214–242</w:t>
            </w:r>
          </w:p>
        </w:tc>
      </w:tr>
      <w:tr>
        <w:trPr>
          <w:cantSplit/>
        </w:trPr>
        <w:tc>
          <w:tcPr>
            <w:tcW w:type="dxa" w:w="3250"/>
          </w:tcPr>
          <w:p>
            <w:r>
              <w:rPr>
                <w:sz w:val="18"/>
              </w:rPr>
              <w:t>13:00–14:00</w:t>
            </w:r>
          </w:p>
        </w:tc>
        <w:tc>
          <w:tcPr>
            <w:tcW w:type="dxa" w:w="3250"/>
          </w:tcPr>
          <w:p>
            <w:r>
              <w:rPr>
                <w:sz w:val="18"/>
              </w:rPr>
              <w:t>Lunch</w:t>
            </w:r>
          </w:p>
        </w:tc>
        <w:tc>
          <w:tcPr>
            <w:tcW w:type="dxa" w:w="3250"/>
          </w:tcPr>
          <w:p>
            <w:r>
              <w:rPr>
                <w:sz w:val="18"/>
              </w:rPr>
              <w:t>Excluded</w:t>
            </w:r>
          </w:p>
        </w:tc>
      </w:tr>
      <w:tr>
        <w:trPr>
          <w:cantSplit/>
        </w:trPr>
        <w:tc>
          <w:tcPr>
            <w:tcW w:type="dxa" w:w="3250"/>
          </w:tcPr>
          <w:p>
            <w:r>
              <w:rPr>
                <w:sz w:val="18"/>
              </w:rPr>
              <w:t>14:00–16:00</w:t>
            </w:r>
          </w:p>
        </w:tc>
        <w:tc>
          <w:tcPr>
            <w:tcW w:type="dxa" w:w="3250"/>
          </w:tcPr>
          <w:p>
            <w:r>
              <w:rPr>
                <w:sz w:val="18"/>
              </w:rPr>
              <w:t>Topic 5 completion: total classroom 90 min + Activities 9–10 (45 min each); course wrap-up</w:t>
            </w:r>
          </w:p>
        </w:tc>
        <w:tc>
          <w:tcPr>
            <w:tcW w:type="dxa" w:w="3250"/>
          </w:tcPr>
          <w:p>
            <w:r>
              <w:rPr>
                <w:sz w:val="18"/>
              </w:rPr>
              <w:t>120 min; same Topic 5 range plus worked charts/closing</w:t>
            </w:r>
          </w:p>
        </w:tc>
      </w:tr>
      <w:tr>
        <w:trPr>
          <w:cantSplit/>
        </w:trPr>
        <w:tc>
          <w:tcPr>
            <w:tcW w:type="dxa" w:w="3250"/>
          </w:tcPr>
          <w:p>
            <w:r>
              <w:rPr>
                <w:sz w:val="18"/>
              </w:rPr>
              <w:t>16:00–17:00</w:t>
            </w:r>
          </w:p>
        </w:tc>
        <w:tc>
          <w:tcPr>
            <w:tcW w:type="dxa" w:w="3250"/>
          </w:tcPr>
          <w:p>
            <w:r>
              <w:rPr>
                <w:sz w:val="18"/>
              </w:rPr>
              <w:t>WA-SAQ: 5 questions K1–K5</w:t>
            </w:r>
          </w:p>
        </w:tc>
        <w:tc>
          <w:tcPr>
            <w:tcW w:type="dxa" w:w="3250"/>
          </w:tcPr>
          <w:p>
            <w:r>
              <w:rPr>
                <w:sz w:val="18"/>
              </w:rPr>
              <w:t>60 min</w:t>
            </w:r>
          </w:p>
        </w:tc>
      </w:tr>
      <w:tr>
        <w:trPr>
          <w:cantSplit/>
        </w:trPr>
        <w:tc>
          <w:tcPr>
            <w:tcW w:type="dxa" w:w="3250"/>
          </w:tcPr>
          <w:p>
            <w:r>
              <w:rPr>
                <w:sz w:val="18"/>
              </w:rPr>
              <w:t>17:00–18:00</w:t>
            </w:r>
          </w:p>
        </w:tc>
        <w:tc>
          <w:tcPr>
            <w:tcW w:type="dxa" w:w="3250"/>
          </w:tcPr>
          <w:p>
            <w:r>
              <w:rPr>
                <w:sz w:val="18"/>
              </w:rPr>
              <w:t>PP: 5 tasks A1–A5; LMS submission and summary sign-off</w:t>
            </w:r>
          </w:p>
        </w:tc>
        <w:tc>
          <w:tcPr>
            <w:tcW w:type="dxa" w:w="3250"/>
          </w:tcPr>
          <w:p>
            <w:r>
              <w:rPr>
                <w:sz w:val="18"/>
              </w:rPr>
              <w:t>60 min</w:t>
            </w:r>
          </w:p>
        </w:tc>
      </w:tr>
    </w:tbl>
    <w:p>
      <w:r>
        <w:t>Day 2 total: 360 instructional minutes + 120 assessment minutes = 480 contact minutes / 8 hours. Total programme = 840 instruction + 120 assessment = 960 minutes / 16 hours.</w:t>
      </w:r>
    </w:p>
    <w:p>
      <w:pPr>
        <w:pStyle w:val="Heading1"/>
      </w:pPr>
      <w:r>
        <w:t>Activity-to-slide reference</w:t>
      </w:r>
    </w:p>
    <w:tbl>
      <w:tblPr>
        <w:tblStyle w:val="TableGrid"/>
        <w:tblW w:type="auto" w:w="0"/>
        <w:tblLook w:firstColumn="1" w:firstRow="1" w:lastColumn="0" w:lastRow="0" w:noHBand="0" w:noVBand="1" w:val="04A0"/>
      </w:tblPr>
      <w:tblGrid>
        <w:gridCol w:w="3250"/>
        <w:gridCol w:w="3250"/>
        <w:gridCol w:w="3250"/>
      </w:tblGrid>
      <w:tr>
        <w:trPr>
          <w:cantSplit/>
        </w:trPr>
        <w:tc>
          <w:tcPr>
            <w:tcW w:type="dxa" w:w="3250"/>
            <w:shd w:val="clear" w:color="auto" w:fill="E8F0FE"/>
          </w:tcPr>
          <w:p>
            <w:r>
              <w:rPr>
                <w:sz w:val="18"/>
              </w:rPr>
              <w:t>Activity</w:t>
            </w:r>
          </w:p>
        </w:tc>
        <w:tc>
          <w:tcPr>
            <w:tcW w:type="dxa" w:w="3250"/>
            <w:shd w:val="clear" w:color="auto" w:fill="E8F0FE"/>
          </w:tcPr>
          <w:p>
            <w:r>
              <w:rPr>
                <w:sz w:val="18"/>
              </w:rPr>
              <w:t>Slide range</w:t>
            </w:r>
          </w:p>
        </w:tc>
        <w:tc>
          <w:tcPr>
            <w:tcW w:type="dxa" w:w="3250"/>
            <w:shd w:val="clear" w:color="auto" w:fill="E8F0FE"/>
          </w:tcPr>
          <w:p>
            <w:r>
              <w:rPr>
                <w:sz w:val="18"/>
              </w:rPr>
              <w:t>Outcome / evidence</w:t>
            </w:r>
          </w:p>
        </w:tc>
      </w:tr>
      <w:tr>
        <w:trPr>
          <w:cantSplit/>
        </w:trPr>
        <w:tc>
          <w:tcPr>
            <w:tcW w:type="dxa" w:w="3250"/>
          </w:tcPr>
          <w:p>
            <w:r>
              <w:rPr>
                <w:sz w:val="18"/>
              </w:rPr>
              <w:t>01: From catalogue specification to executable contract</w:t>
            </w:r>
          </w:p>
        </w:tc>
        <w:tc>
          <w:tcPr>
            <w:tcW w:type="dxa" w:w="3250"/>
          </w:tcPr>
          <w:p>
            <w:r>
              <w:rPr>
                <w:sz w:val="18"/>
              </w:rPr>
              <w:t>41–45</w:t>
            </w:r>
          </w:p>
        </w:tc>
        <w:tc>
          <w:tcPr>
            <w:tcW w:type="dxa" w:w="3250"/>
          </w:tcPr>
          <w:p>
            <w:r>
              <w:rPr>
                <w:sz w:val="18"/>
              </w:rPr>
              <w:t>LO1 · K1 · A1; R1: blank names fail without creating a record.</w:t>
            </w:r>
          </w:p>
        </w:tc>
      </w:tr>
      <w:tr>
        <w:trPr>
          <w:cantSplit/>
        </w:trPr>
        <w:tc>
          <w:tcPr>
            <w:tcW w:type="dxa" w:w="3250"/>
          </w:tcPr>
          <w:p>
            <w:r>
              <w:rPr>
                <w:sz w:val="18"/>
              </w:rPr>
              <w:t>02: Compile, run and review an AI-generated C# component</w:t>
            </w:r>
          </w:p>
        </w:tc>
        <w:tc>
          <w:tcPr>
            <w:tcW w:type="dxa" w:w="3250"/>
          </w:tcPr>
          <w:p>
            <w:r>
              <w:rPr>
                <w:sz w:val="18"/>
              </w:rPr>
              <w:t>46–50</w:t>
            </w:r>
          </w:p>
        </w:tc>
        <w:tc>
          <w:tcPr>
            <w:tcW w:type="dxa" w:w="3250"/>
          </w:tcPr>
          <w:p>
            <w:r>
              <w:rPr>
                <w:sz w:val="18"/>
              </w:rPr>
              <w:t>LO1 · K1 · A1; Whitespace and null input produce the learner fallback.</w:t>
            </w:r>
          </w:p>
        </w:tc>
      </w:tr>
      <w:tr>
        <w:trPr>
          <w:cantSplit/>
        </w:trPr>
        <w:tc>
          <w:tcPr>
            <w:tcW w:type="dxa" w:w="3250"/>
          </w:tcPr>
          <w:p>
            <w:r>
              <w:rPr>
                <w:sz w:val="18"/>
              </w:rPr>
              <w:t>03: Types, operators, input rules and batch control flow</w:t>
            </w:r>
          </w:p>
        </w:tc>
        <w:tc>
          <w:tcPr>
            <w:tcW w:type="dxa" w:w="3250"/>
          </w:tcPr>
          <w:p>
            <w:r>
              <w:rPr>
                <w:sz w:val="18"/>
              </w:rPr>
              <w:t>128–132</w:t>
            </w:r>
          </w:p>
        </w:tc>
        <w:tc>
          <w:tcPr>
            <w:tcW w:type="dxa" w:w="3250"/>
          </w:tcPr>
          <w:p>
            <w:r>
              <w:rPr>
                <w:sz w:val="18"/>
              </w:rPr>
              <w:t>LO2 · K2 · A2; 19.90 × 2 × 0.90 produces 35.82.</w:t>
            </w:r>
          </w:p>
        </w:tc>
      </w:tr>
      <w:tr>
        <w:trPr>
          <w:cantSplit/>
        </w:trPr>
        <w:tc>
          <w:tcPr>
            <w:tcW w:type="dxa" w:w="3250"/>
          </w:tcPr>
          <w:p>
            <w:r>
              <w:rPr>
                <w:sz w:val="18"/>
              </w:rPr>
              <w:t>04: Methods and console MVC for balance enquiries</w:t>
            </w:r>
          </w:p>
        </w:tc>
        <w:tc>
          <w:tcPr>
            <w:tcW w:type="dxa" w:w="3250"/>
          </w:tcPr>
          <w:p>
            <w:r>
              <w:rPr>
                <w:sz w:val="18"/>
              </w:rPr>
              <w:t>133–137</w:t>
            </w:r>
          </w:p>
        </w:tc>
        <w:tc>
          <w:tcPr>
            <w:tcW w:type="dxa" w:w="3250"/>
          </w:tcPr>
          <w:p>
            <w:r>
              <w:rPr>
                <w:sz w:val="18"/>
              </w:rPr>
              <w:t>LO2 · K2 · A2; The Model rejects negative initial balance.</w:t>
            </w:r>
          </w:p>
        </w:tc>
      </w:tr>
      <w:tr>
        <w:trPr>
          <w:cantSplit/>
        </w:trPr>
        <w:tc>
          <w:tcPr>
            <w:tcW w:type="dxa" w:w="3250"/>
          </w:tcPr>
          <w:p>
            <w:r>
              <w:rPr>
                <w:sz w:val="18"/>
              </w:rPr>
              <w:t>05: Catalogue classes, constructors and encapsulated properties</w:t>
            </w:r>
          </w:p>
        </w:tc>
        <w:tc>
          <w:tcPr>
            <w:tcW w:type="dxa" w:w="3250"/>
          </w:tcPr>
          <w:p>
            <w:r>
              <w:rPr>
                <w:sz w:val="18"/>
              </w:rPr>
              <w:t>167–171</w:t>
            </w:r>
          </w:p>
        </w:tc>
        <w:tc>
          <w:tcPr>
            <w:tcW w:type="dxa" w:w="3250"/>
          </w:tcPr>
          <w:p>
            <w:r>
              <w:rPr>
                <w:sz w:val="18"/>
              </w:rPr>
              <w:t>LO3 · K3 · A3; An invalid name, price, stock or category is rejected.</w:t>
            </w:r>
          </w:p>
        </w:tc>
      </w:tr>
      <w:tr>
        <w:trPr>
          <w:cantSplit/>
        </w:trPr>
        <w:tc>
          <w:tcPr>
            <w:tcW w:type="dxa" w:w="3250"/>
          </w:tcPr>
          <w:p>
            <w:r>
              <w:rPr>
                <w:sz w:val="18"/>
              </w:rPr>
              <w:t>06: Interfaces, inheritance and polymorphic grade controls</w:t>
            </w:r>
          </w:p>
        </w:tc>
        <w:tc>
          <w:tcPr>
            <w:tcW w:type="dxa" w:w="3250"/>
          </w:tcPr>
          <w:p>
            <w:r>
              <w:rPr>
                <w:sz w:val="18"/>
              </w:rPr>
              <w:t>172–176</w:t>
            </w:r>
          </w:p>
        </w:tc>
        <w:tc>
          <w:tcPr>
            <w:tcW w:type="dxa" w:w="3250"/>
          </w:tcPr>
          <w:p>
            <w:r>
              <w:rPr>
                <w:sz w:val="18"/>
              </w:rPr>
              <w:t>LO3 · K3 · A3; All grades are within 0–100.</w:t>
            </w:r>
          </w:p>
        </w:tc>
      </w:tr>
      <w:tr>
        <w:trPr>
          <w:cantSplit/>
        </w:trPr>
        <w:tc>
          <w:tcPr>
            <w:tcW w:type="dxa" w:w="3250"/>
          </w:tcPr>
          <w:p>
            <w:r>
              <w:rPr>
                <w:sz w:val="18"/>
              </w:rPr>
              <w:t>07: Order states, payment failure and notification guards</w:t>
            </w:r>
          </w:p>
        </w:tc>
        <w:tc>
          <w:tcPr>
            <w:tcW w:type="dxa" w:w="3250"/>
          </w:tcPr>
          <w:p>
            <w:r>
              <w:rPr>
                <w:sz w:val="18"/>
              </w:rPr>
              <w:t>204–208</w:t>
            </w:r>
          </w:p>
        </w:tc>
        <w:tc>
          <w:tcPr>
            <w:tcW w:type="dxa" w:w="3250"/>
          </w:tcPr>
          <w:p>
            <w:r>
              <w:rPr>
                <w:sz w:val="18"/>
              </w:rPr>
              <w:t>LO4 · K4 · A4; Success confirms and notifies exactly once in a single call.</w:t>
            </w:r>
          </w:p>
        </w:tc>
      </w:tr>
      <w:tr>
        <w:trPr>
          <w:cantSplit/>
        </w:trPr>
        <w:tc>
          <w:tcPr>
            <w:tcW w:type="dxa" w:w="3250"/>
          </w:tcPr>
          <w:p>
            <w:r>
              <w:rPr>
                <w:sz w:val="18"/>
              </w:rPr>
              <w:t>08: JSON contracts, enum parsing, regex and file lifetime</w:t>
            </w:r>
          </w:p>
        </w:tc>
        <w:tc>
          <w:tcPr>
            <w:tcW w:type="dxa" w:w="3250"/>
          </w:tcPr>
          <w:p>
            <w:r>
              <w:rPr>
                <w:sz w:val="18"/>
              </w:rPr>
              <w:t>209–213</w:t>
            </w:r>
          </w:p>
        </w:tc>
        <w:tc>
          <w:tcPr>
            <w:tcW w:type="dxa" w:w="3250"/>
          </w:tcPr>
          <w:p>
            <w:r>
              <w:rPr>
                <w:sz w:val="18"/>
              </w:rPr>
              <w:t>LO4 · K4 · A4; A valid record survives JSON export/import unchanged.</w:t>
            </w:r>
          </w:p>
        </w:tc>
      </w:tr>
      <w:tr>
        <w:trPr>
          <w:cantSplit/>
        </w:trPr>
        <w:tc>
          <w:tcPr>
            <w:tcW w:type="dxa" w:w="3250"/>
          </w:tcPr>
          <w:p>
            <w:r>
              <w:rPr>
                <w:sz w:val="18"/>
              </w:rPr>
              <w:t>09: Library methods, XML documentation and specification traceability</w:t>
            </w:r>
          </w:p>
        </w:tc>
        <w:tc>
          <w:tcPr>
            <w:tcW w:type="dxa" w:w="3250"/>
          </w:tcPr>
          <w:p>
            <w:r>
              <w:rPr>
                <w:sz w:val="18"/>
              </w:rPr>
              <w:t>233–237</w:t>
            </w:r>
          </w:p>
        </w:tc>
        <w:tc>
          <w:tcPr>
            <w:tcW w:type="dxa" w:w="3250"/>
          </w:tcPr>
          <w:p>
            <w:r>
              <w:rPr>
                <w:sz w:val="18"/>
              </w:rPr>
              <w:t>LO5 · K5 · A5; Book search is case-insensitive.</w:t>
            </w:r>
          </w:p>
        </w:tc>
      </w:tr>
      <w:tr>
        <w:trPr>
          <w:cantSplit/>
        </w:trPr>
        <w:tc>
          <w:tcPr>
            <w:tcW w:type="dxa" w:w="3250"/>
          </w:tcPr>
          <w:p>
            <w:r>
              <w:rPr>
                <w:sz w:val="18"/>
              </w:rPr>
              <w:t>10: Documented stock component and handover evidence</w:t>
            </w:r>
          </w:p>
        </w:tc>
        <w:tc>
          <w:tcPr>
            <w:tcW w:type="dxa" w:w="3250"/>
          </w:tcPr>
          <w:p>
            <w:r>
              <w:rPr>
                <w:sz w:val="18"/>
              </w:rPr>
              <w:t>238–242</w:t>
            </w:r>
          </w:p>
        </w:tc>
        <w:tc>
          <w:tcPr>
            <w:tcW w:type="dxa" w:w="3250"/>
          </w:tcPr>
          <w:p>
            <w:r>
              <w:rPr>
                <w:sz w:val="18"/>
              </w:rPr>
              <w:t>LO5 · K5 · A5; 10 − 3 + 2 produces stock 9.</w:t>
            </w:r>
          </w:p>
        </w:tc>
      </w:tr>
    </w:tbl>
    <w:p>
      <w:pPr>
        <w:pStyle w:val="Heading1"/>
      </w:pPr>
      <w:r>
        <w:t>Assessment instruments and original contract</w:t>
      </w:r>
    </w:p>
    <w:p>
      <w:r>
        <w:t>Original papers retrieved from the verified course Drive Assessment folder because authenticated TMS edit-data has no assessment links. WA: exactly 5 questions, K1–K5 one-to-one, 60 min. PP: exactly 5 tasks, A1–A5 one-to-one, 60 min. Both are individual, open-book; all criteria must be demonstrated for competency. Each LU receives 12 min WA and 12 min PP in the approved proposal.</w:t>
      </w:r>
    </w:p>
    <w:p>
      <w:pPr>
        <w:pStyle w:val="Heading1"/>
      </w:pPr>
      <w:r>
        <w:t>Facilitator preparation and review</w:t>
      </w:r>
    </w:p>
    <w:p>
      <w:r>
        <w:t>Before class, verify SDK, all ten project builds and normal/invalid/boundary outputs. Check LMS resources and current candidate papers. Use the General Trainer card for the assigned facilitator; the named profile supplies the source developer identity. Capture actual activity evidence and provide formative feedback before assessment. Keep trainer answer keys outside the public learner tree.</w:t>
      </w:r>
    </w:p>
    <w:p>
      <w:pPr>
        <w:pStyle w:val="Heading1"/>
      </w:pPr>
      <w:r>
        <w:t>Sources and change control</w:t>
      </w:r>
    </w:p>
    <w:tbl>
      <w:tblPr>
        <w:tblStyle w:val="TableGrid"/>
        <w:tblW w:type="auto" w:w="0"/>
        <w:tblLook w:firstColumn="1" w:firstRow="1" w:lastColumn="0" w:lastRow="0" w:noHBand="0" w:noVBand="1" w:val="04A0"/>
      </w:tblPr>
      <w:tblGrid>
        <w:gridCol w:w="4874"/>
        <w:gridCol w:w="4874"/>
      </w:tblGrid>
      <w:tr>
        <w:trPr>
          <w:cantSplit/>
        </w:trPr>
        <w:tc>
          <w:tcPr>
            <w:tcW w:type="dxa" w:w="4874"/>
            <w:shd w:val="clear" w:color="auto" w:fill="E8F0FE"/>
          </w:tcPr>
          <w:p>
            <w:r>
              <w:rPr>
                <w:sz w:val="18"/>
              </w:rPr>
              <w:t>Source</w:t>
            </w:r>
          </w:p>
        </w:tc>
        <w:tc>
          <w:tcPr>
            <w:tcW w:type="dxa" w:w="4874"/>
            <w:shd w:val="clear" w:color="auto" w:fill="E8F0FE"/>
          </w:tcPr>
          <w:p>
            <w:r>
              <w:rPr>
                <w:sz w:val="18"/>
              </w:rPr>
              <w:t>Authority</w:t>
            </w:r>
          </w:p>
        </w:tc>
      </w:tr>
      <w:tr>
        <w:trPr>
          <w:cantSplit/>
        </w:trPr>
        <w:tc>
          <w:tcPr>
            <w:tcW w:type="dxa" w:w="4874"/>
          </w:tcPr>
          <w:p>
            <w:r>
              <w:rPr>
                <w:sz w:val="18"/>
              </w:rPr>
              <w:t>Original PPT v6.0</w:t>
            </w:r>
          </w:p>
        </w:tc>
        <w:tc>
          <w:tcPr>
            <w:tcW w:type="dxa" w:w="4874"/>
          </w:tcPr>
          <w:p>
            <w:r>
              <w:rPr>
                <w:sz w:val="18"/>
              </w:rPr>
              <w:t>reference/WSQ - Master Trainer Slides - Programming Methodologies in C# - v6.pptx</w:t>
            </w:r>
          </w:p>
        </w:tc>
      </w:tr>
      <w:tr>
        <w:trPr>
          <w:cantSplit/>
        </w:trPr>
        <w:tc>
          <w:tcPr>
            <w:tcW w:type="dxa" w:w="4874"/>
          </w:tcPr>
          <w:p>
            <w:r>
              <w:rPr>
                <w:sz w:val="18"/>
              </w:rPr>
              <w:t>Approved proposal / TSC mapping</w:t>
            </w:r>
          </w:p>
        </w:tc>
        <w:tc>
          <w:tcPr>
            <w:tcW w:type="dxa" w:w="4874"/>
          </w:tcPr>
          <w:p>
            <w:r>
              <w:rPr>
                <w:sz w:val="18"/>
              </w:rPr>
              <w:t>reference/extracted-original/CP_TIPL_Csharp_v1.1.txt</w:t>
            </w:r>
          </w:p>
        </w:tc>
      </w:tr>
      <w:tr>
        <w:trPr>
          <w:cantSplit/>
        </w:trPr>
        <w:tc>
          <w:tcPr>
            <w:tcW w:type="dxa" w:w="4874"/>
          </w:tcPr>
          <w:p>
            <w:r>
              <w:rPr>
                <w:sz w:val="18"/>
              </w:rPr>
              <w:t>Registration page</w:t>
            </w:r>
          </w:p>
        </w:tc>
        <w:tc>
          <w:tcPr>
            <w:tcW w:type="dxa" w:w="4874"/>
          </w:tcPr>
          <w:p>
            <w:r>
              <w:rPr>
                <w:sz w:val="18"/>
              </w:rPr>
              <w:t>https://www.tertiarycourses.com.sg/wsq-ai-vibe-coding-with-c-sharp.html</w:t>
            </w:r>
          </w:p>
        </w:tc>
      </w:tr>
    </w:tbl>
    <w:sectPr w:rsidR="00FC693F" w:rsidRPr="0006063C" w:rsidSect="00034616">
      <w:footerReference w:type="default" r:id="rId10"/>
      <w:pgSz w:w="11909" w:h="16834"/>
      <w:pgMar w:top="1008"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