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Tertiary Infotech Academy Pte Ltd</w:t>
      </w:r>
    </w:p>
    <w:p>
      <w:pPr>
        <w:jc w:val="center"/>
      </w:pPr>
      <w:r>
        <w:rPr>
          <w:rFonts w:ascii="Arial" w:hAnsi="Arial"/>
          <w:color w:val="4B5563"/>
          <w:sz w:val="20"/>
        </w:rPr>
        <w:t>UEN: 201200696W</w:t>
      </w:r>
    </w:p>
    <w:p>
      <w:pPr>
        <w:jc w:val="center"/>
        <w:shd w:fill="1F6FEB"/>
      </w:pPr>
      <w:r>
        <w:rPr>
          <w:sz w:val="6"/>
        </w:rPr>
        <w:t xml:space="preserve"> </w:t>
      </w:r>
    </w:p>
    <w:p/>
    <w:p>
      <w:pPr>
        <w:jc w:val="center"/>
        <w:shd w:fill="F3F7FB"/>
      </w:pPr>
      <w:r>
        <w:rPr>
          <w:b/>
          <w:color w:val="111827"/>
          <w:sz w:val="40"/>
        </w:rPr>
        <w:t>LESSON PLAN</w:t>
      </w:r>
    </w:p>
    <w:p>
      <w:pPr>
        <w:jc w:val="center"/>
      </w:pPr>
      <w:r>
        <w:rPr>
          <w:color w:val="4B5563"/>
          <w:sz w:val="22"/>
        </w:rPr>
        <w:t>For</w:t>
      </w:r>
    </w:p>
    <w:p/>
    <w:p>
      <w:pPr>
        <w:spacing w:before="160" w:after="160"/>
        <w:jc w:val="center"/>
      </w:pPr>
      <w:r>
        <w:rPr>
          <w:b/>
          <w:color w:val="111827"/>
          <w:sz w:val="36"/>
        </w:rPr>
        <w:t>Microsoft Azure Security Engineer Associate (AZ-500)</w:t>
      </w:r>
    </w:p>
    <w:p>
      <w:pPr>
        <w:jc w:val="center"/>
      </w:pPr>
      <w:r>
        <w:rPr>
          <w:rFonts w:ascii="Arial" w:hAnsi="Arial"/>
          <w:b w:val="0"/>
          <w:color w:val="4B5563"/>
          <w:sz w:val="22"/>
        </w:rPr>
        <w:t>TGS Ref No: TGS-2023039344</w:t>
      </w:r>
    </w:p>
    <w:p>
      <w:pPr>
        <w:jc w:val="center"/>
      </w:pPr>
      <w:r>
        <w:rPr>
          <w:rFonts w:ascii="Arial" w:hAnsi="Arial"/>
          <w:b w:val="0"/>
          <w:color w:val="4B5563"/>
          <w:sz w:val="20"/>
        </w:rPr>
        <w:t>Conducted by</w:t>
      </w:r>
    </w:p>
    <w:p>
      <w:pPr>
        <w:jc w:val="center"/>
      </w:pPr>
      <w:r>
        <w:rPr>
          <w:rFonts w:ascii="Arial" w:hAnsi="Arial"/>
          <w:b/>
          <w:color w:val="111827"/>
          <w:sz w:val="22"/>
        </w:rPr>
        <w:t>Tertiary Infotech Academy Pte Ltd</w:t>
      </w:r>
    </w:p>
    <w:p>
      <w:pPr>
        <w:jc w:val="center"/>
      </w:pPr>
      <w:r>
        <w:rPr>
          <w:rFonts w:ascii="Arial" w:hAnsi="Arial"/>
          <w:b w:val="0"/>
          <w:color w:val="4B5563"/>
          <w:sz w:val="20"/>
        </w:rPr>
        <w:t>UEN: 201200696W</w:t>
      </w:r>
    </w:p>
    <w:p>
      <w:pPr>
        <w:jc w:val="center"/>
      </w:pPr>
      <w:r>
        <w:rPr>
          <w:rFonts w:ascii="Arial" w:hAnsi="Arial"/>
          <w:b w:val="0"/>
          <w:color w:val="4B5563"/>
          <w:sz w:val="20"/>
        </w:rPr>
        <w:t>Version 4</w:t>
      </w:r>
    </w:p>
    <w:p>
      <w:r>
        <w:br w:type="page"/>
      </w:r>
    </w:p>
    <w:p>
      <w:r>
        <w:rPr>
          <w:b/>
          <w:color w:val="111827"/>
          <w:sz w:val="28"/>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6FEB"/>
          </w:tcPr>
          <w:p>
            <w:r>
              <w:rPr>
                <w:b/>
                <w:color w:val="FFFFFF"/>
              </w:rPr>
              <w:t>Version Number</w:t>
            </w:r>
          </w:p>
        </w:tc>
        <w:tc>
          <w:tcPr>
            <w:tcW w:type="dxa" w:w="2412"/>
            <w:shd w:fill="1F6FEB"/>
          </w:tcPr>
          <w:p>
            <w:r>
              <w:rPr>
                <w:b/>
                <w:color w:val="FFFFFF"/>
              </w:rPr>
              <w:t>Effective Date of Release</w:t>
            </w:r>
          </w:p>
        </w:tc>
        <w:tc>
          <w:tcPr>
            <w:tcW w:type="dxa" w:w="2412"/>
            <w:shd w:fill="1F6FEB"/>
          </w:tcPr>
          <w:p>
            <w:r>
              <w:rPr>
                <w:b/>
                <w:color w:val="FFFFFF"/>
              </w:rPr>
              <w:t>Summary of Included Changes</w:t>
            </w:r>
          </w:p>
        </w:tc>
        <w:tc>
          <w:tcPr>
            <w:tcW w:type="dxa" w:w="2412"/>
            <w:shd w:fill="1F6FEB"/>
          </w:tcPr>
          <w:p>
            <w:r>
              <w:rPr>
                <w:b/>
                <w:color w:val="FFFFFF"/>
              </w:rPr>
              <w:t>Author</w:t>
            </w:r>
          </w:p>
        </w:tc>
      </w:tr>
      <w:tr>
        <w:tc>
          <w:tcPr>
            <w:tcW w:type="dxa" w:w="2412"/>
          </w:tcPr>
          <w:p>
            <w:r>
              <w:t>4</w:t>
            </w:r>
          </w:p>
        </w:tc>
        <w:tc>
          <w:tcPr>
            <w:tcW w:type="dxa" w:w="2412"/>
          </w:tcPr>
          <w:p>
            <w:r>
              <w:t>8 July 2026</w:t>
            </w:r>
          </w:p>
        </w:tc>
        <w:tc>
          <w:tcPr>
            <w:tcW w:type="dxa" w:w="2412"/>
          </w:tcPr>
          <w:p>
            <w:r>
              <w:t>Aligned assessment flow to WA then PP and regenerated courseware/lab-aligned materials.</w:t>
            </w:r>
          </w:p>
        </w:tc>
        <w:tc>
          <w:tcPr>
            <w:tcW w:type="dxa" w:w="2412"/>
          </w:tcPr>
          <w:p>
            <w:r>
              <w:t>Tertiary Infotech Academy Pte Ltd</w:t>
            </w:r>
          </w:p>
        </w:tc>
      </w:tr>
    </w:tbl>
    <w:p/>
    <w:p>
      <w:r>
        <w:rPr>
          <w:b/>
          <w:color w:val="111827"/>
          <w:sz w:val="28"/>
        </w:rPr>
        <w:t>Table of Contents</w:t>
      </w:r>
    </w:p>
    <w:p>
      <w:r>
        <w:rPr>
          <w:i/>
          <w:color w:val="4B5563"/>
        </w:rPr>
        <w:t>Right-click and choose 'Update Field', or press F9, to build the table of contents.</w:t>
      </w:r>
    </w:p>
    <w:p>
      <w:r>
        <w:br w:type="page"/>
      </w:r>
    </w:p>
    <w:p>
      <w:pPr>
        <w:pStyle w:val="Heading1"/>
      </w:pPr>
      <w:r>
        <w:t>Course Details</w:t>
      </w:r>
    </w:p>
    <w:tbl>
      <w:tblPr>
        <w:tblStyle w:val="TableGrid"/>
        <w:tblW w:type="auto" w:w="0"/>
        <w:jc w:val="center"/>
        <w:tblLook w:firstColumn="1" w:firstRow="1" w:lastColumn="0" w:lastRow="0" w:noHBand="0" w:noVBand="1" w:val="04A0"/>
      </w:tblPr>
      <w:tblGrid>
        <w:gridCol w:w="4824"/>
        <w:gridCol w:w="4824"/>
      </w:tblGrid>
      <w:tr>
        <w:tc>
          <w:tcPr>
            <w:tcW w:type="dxa" w:w="4824"/>
            <w:shd w:fill="F3F7FB"/>
          </w:tcPr>
          <w:p>
            <w:r>
              <w:rPr>
                <w:b/>
              </w:rPr>
              <w:t>Course Title</w:t>
            </w:r>
          </w:p>
        </w:tc>
        <w:tc>
          <w:tcPr>
            <w:tcW w:type="dxa" w:w="4824"/>
          </w:tcPr>
          <w:p>
            <w:r>
              <w:t>Microsoft Azure Security Engineer Associate (AZ-500)</w:t>
            </w:r>
          </w:p>
        </w:tc>
      </w:tr>
      <w:tr>
        <w:tc>
          <w:tcPr>
            <w:tcW w:type="dxa" w:w="4824"/>
            <w:shd w:fill="F3F7FB"/>
          </w:tcPr>
          <w:p>
            <w:r>
              <w:rPr>
                <w:b/>
              </w:rPr>
              <w:t>TGS Ref No.</w:t>
            </w:r>
          </w:p>
        </w:tc>
        <w:tc>
          <w:tcPr>
            <w:tcW w:type="dxa" w:w="4824"/>
          </w:tcPr>
          <w:p>
            <w:r>
              <w:t>TGS-2023039344</w:t>
            </w:r>
          </w:p>
        </w:tc>
      </w:tr>
      <w:tr>
        <w:tc>
          <w:tcPr>
            <w:tcW w:type="dxa" w:w="4824"/>
            <w:shd w:fill="F3F7FB"/>
          </w:tcPr>
          <w:p>
            <w:r>
              <w:rPr>
                <w:b/>
              </w:rPr>
              <w:t>Duration</w:t>
            </w:r>
          </w:p>
        </w:tc>
        <w:tc>
          <w:tcPr>
            <w:tcW w:type="dxa" w:w="4824"/>
          </w:tcPr>
          <w:p>
            <w:r>
              <w:t>2 Days (16 training hours)</w:t>
            </w:r>
          </w:p>
        </w:tc>
      </w:tr>
      <w:tr>
        <w:tc>
          <w:tcPr>
            <w:tcW w:type="dxa" w:w="4824"/>
            <w:shd w:fill="F3F7FB"/>
          </w:tcPr>
          <w:p>
            <w:r>
              <w:rPr>
                <w:b/>
              </w:rPr>
              <w:t>Training Hours</w:t>
            </w:r>
          </w:p>
        </w:tc>
        <w:tc>
          <w:tcPr>
            <w:tcW w:type="dxa" w:w="4824"/>
          </w:tcPr>
          <w:p>
            <w:r>
              <w:t>9:00 AM - 6:00 PM, including lunch and short breaks</w:t>
            </w:r>
          </w:p>
        </w:tc>
      </w:tr>
      <w:tr>
        <w:tc>
          <w:tcPr>
            <w:tcW w:type="dxa" w:w="4824"/>
            <w:shd w:fill="F3F7FB"/>
          </w:tcPr>
          <w:p>
            <w:r>
              <w:rPr>
                <w:b/>
              </w:rPr>
              <w:t>Delivery Mode</w:t>
            </w:r>
          </w:p>
        </w:tc>
        <w:tc>
          <w:tcPr>
            <w:tcW w:type="dxa" w:w="4824"/>
          </w:tcPr>
          <w:p>
            <w:r>
              <w:t>Instructor-led classroom training with Azure hands-on labs</w:t>
            </w:r>
          </w:p>
        </w:tc>
      </w:tr>
      <w:tr>
        <w:tc>
          <w:tcPr>
            <w:tcW w:type="dxa" w:w="4824"/>
            <w:shd w:fill="F3F7FB"/>
          </w:tcPr>
          <w:p>
            <w:r>
              <w:rPr>
                <w:b/>
              </w:rPr>
              <w:t>Learning Platform</w:t>
            </w:r>
          </w:p>
        </w:tc>
        <w:tc>
          <w:tcPr>
            <w:tcW w:type="dxa" w:w="4824"/>
          </w:tcPr>
          <w:p>
            <w:r>
              <w:t>Azure Portal, Microsoft Entra admin center, Defender for Cloud, Microsoft Sentinel and LMS</w:t>
            </w:r>
          </w:p>
        </w:tc>
      </w:tr>
      <w:tr>
        <w:tc>
          <w:tcPr>
            <w:tcW w:type="dxa" w:w="4824"/>
            <w:shd w:fill="F3F7FB"/>
          </w:tcPr>
          <w:p>
            <w:r>
              <w:rPr>
                <w:b/>
              </w:rPr>
              <w:t>Assessment</w:t>
            </w:r>
          </w:p>
        </w:tc>
        <w:tc>
          <w:tcPr>
            <w:tcW w:type="dxa" w:w="4824"/>
          </w:tcPr>
          <w:p>
            <w:r>
              <w:t>Written Assessment (1 hr) and Practical Performance (1 hr) on Day 2 from 4:00 PM to 6:00 PM</w:t>
            </w:r>
          </w:p>
        </w:tc>
      </w:tr>
      <w:tr>
        <w:tc>
          <w:tcPr>
            <w:tcW w:type="dxa" w:w="4824"/>
            <w:shd w:fill="F3F7FB"/>
          </w:tcPr>
          <w:p>
            <w:r>
              <w:rPr>
                <w:b/>
              </w:rPr>
              <w:t>Learner Guide</w:t>
            </w:r>
          </w:p>
        </w:tc>
        <w:tc>
          <w:tcPr>
            <w:tcW w:type="dxa" w:w="4824"/>
          </w:tcPr>
          <w:p>
            <w:r>
              <w:t>LG-Microsoft Azure Security Engineer Associate (AZ-500).docx</w:t>
            </w:r>
          </w:p>
        </w:tc>
      </w:tr>
      <w:tr>
        <w:tc>
          <w:tcPr>
            <w:tcW w:type="dxa" w:w="4824"/>
            <w:shd w:fill="F3F7FB"/>
          </w:tcPr>
          <w:p>
            <w:r>
              <w:rPr>
                <w:b/>
              </w:rPr>
              <w:t>Slide Deck</w:t>
            </w:r>
          </w:p>
        </w:tc>
        <w:tc>
          <w:tcPr>
            <w:tcW w:type="dxa" w:w="4824"/>
          </w:tcPr>
          <w:p>
            <w:r>
              <w:t>Microsoft Azure Security Engineer Associate (AZ-500)-v4.pptx</w:t>
            </w:r>
          </w:p>
        </w:tc>
      </w:tr>
      <w:tr>
        <w:tc>
          <w:tcPr>
            <w:tcW w:type="dxa" w:w="4824"/>
            <w:shd w:fill="F3F7FB"/>
          </w:tcPr>
          <w:p>
            <w:r>
              <w:rPr>
                <w:b/>
              </w:rPr>
              <w:t>Lab Source</w:t>
            </w:r>
          </w:p>
        </w:tc>
        <w:tc>
          <w:tcPr>
            <w:tcW w:type="dxa" w:w="4824"/>
          </w:tcPr>
          <w:p>
            <w:r>
              <w:t>labs/ folder, 8 markdown labs</w:t>
            </w:r>
          </w:p>
        </w:tc>
      </w:tr>
      <w:tr>
        <w:tc>
          <w:tcPr>
            <w:tcW w:type="dxa" w:w="4824"/>
            <w:shd w:fill="F3F7FB"/>
          </w:tcPr>
          <w:p>
            <w:r>
              <w:rPr>
                <w:b/>
              </w:rPr>
              <w:t>Primary Resource Group</w:t>
            </w:r>
          </w:p>
        </w:tc>
        <w:tc>
          <w:tcPr>
            <w:tcW w:type="dxa" w:w="4824"/>
          </w:tcPr>
          <w:p>
            <w:r>
              <w:t>rg-az500-&lt;initials&gt;</w:t>
            </w:r>
          </w:p>
        </w:tc>
      </w:tr>
      <w:tr>
        <w:tc>
          <w:tcPr>
            <w:tcW w:type="dxa" w:w="4824"/>
            <w:shd w:fill="F3F7FB"/>
          </w:tcPr>
          <w:p>
            <w:r>
              <w:rPr>
                <w:b/>
              </w:rPr>
              <w:t>Region Used</w:t>
            </w:r>
          </w:p>
        </w:tc>
        <w:tc>
          <w:tcPr>
            <w:tcW w:type="dxa" w:w="4824"/>
          </w:tcPr>
          <w:p>
            <w:r>
              <w:t>Southeast Asia</w:t>
            </w:r>
          </w:p>
        </w:tc>
      </w:tr>
    </w:tbl>
    <w:p/>
    <w:p>
      <w:pPr>
        <w:shd w:fill="FFF4E5"/>
      </w:pPr>
      <w:r>
        <w:rPr>
          <w:b/>
          <w:color w:val="1F6FEB"/>
        </w:rPr>
        <w:t xml:space="preserve">Note: </w:t>
      </w:r>
      <w:r>
        <w:rPr>
          <w:sz w:val="21"/>
        </w:rPr>
        <w:t>The 'Slides' column in each schedule table references the exact slide numbers in the Learner Guide Slides deck for that activity.</w:t>
      </w:r>
    </w:p>
    <w:p>
      <w:pPr>
        <w:pStyle w:val="Heading1"/>
      </w:pPr>
      <w:r>
        <w:t>Course Overview</w:t>
      </w:r>
    </w:p>
    <w:p>
      <w:r>
        <w:rPr>
          <w:sz w:val="21"/>
        </w:rPr>
        <w:t>This 2-day hands-on course prepares learners to secure Azure identity, networking, compute, data and security operations services. Learners configure controls, validate outcomes, record evidence and document licensing or permission blockers where a feature is unavailable.</w:t>
      </w:r>
    </w:p>
    <w:p>
      <w:pPr>
        <w:pStyle w:val="Heading1"/>
      </w:pPr>
      <w:r>
        <w:t>Learning Outcomes</w:t>
      </w:r>
    </w:p>
    <w:p>
      <w:r>
        <w:rPr>
          <w:sz w:val="21"/>
        </w:rPr>
        <w:t>By the end of this course, participants will be able to:</w:t>
      </w:r>
    </w:p>
    <w:p>
      <w:pPr>
        <w:pStyle w:val="ListBullet"/>
      </w:pPr>
      <w:r>
        <w:rPr>
          <w:sz w:val="21"/>
        </w:rPr>
        <w:t>Configure least-privilege access with Azure RBAC, custom roles, PIM and Conditional Access.</w:t>
      </w:r>
    </w:p>
    <w:p>
      <w:pPr>
        <w:pStyle w:val="ListBullet"/>
      </w:pPr>
      <w:r>
        <w:rPr>
          <w:sz w:val="21"/>
        </w:rPr>
        <w:t>Protect Azure network traffic with segmentation, NSG/ASG rules, Firewall, WAF and Private Endpoints.</w:t>
      </w:r>
    </w:p>
    <w:p>
      <w:pPr>
        <w:pStyle w:val="ListBullet"/>
      </w:pPr>
      <w:r>
        <w:rPr>
          <w:sz w:val="21"/>
        </w:rPr>
        <w:t>Secure compute, storage, SQL and Key Vault using Bastion, JIT, encryption and exposure controls.</w:t>
      </w:r>
    </w:p>
    <w:p>
      <w:pPr>
        <w:pStyle w:val="ListBullet"/>
      </w:pPr>
      <w:r>
        <w:rPr>
          <w:sz w:val="21"/>
        </w:rPr>
        <w:t>Manage security posture and response using Azure Policy, Defender for Cloud and Microsoft Sentinel.</w:t>
      </w:r>
    </w:p>
    <w:p>
      <w:pPr>
        <w:pStyle w:val="Heading1"/>
      </w:pPr>
      <w:r>
        <w:t>Delivery Diagram - Course Flow</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zure-lab-flow.png"/>
                    <pic:cNvPicPr/>
                  </pic:nvPicPr>
                  <pic:blipFill>
                    <a:blip r:embed="rId11"/>
                    <a:stretch>
                      <a:fillRect/>
                    </a:stretch>
                  </pic:blipFill>
                  <pic:spPr>
                    <a:xfrm>
                      <a:off x="0" y="0"/>
                      <a:ext cx="5852160" cy="3291840"/>
                    </a:xfrm>
                    <a:prstGeom prst="rect"/>
                  </pic:spPr>
                </pic:pic>
              </a:graphicData>
            </a:graphic>
          </wp:inline>
        </w:drawing>
      </w:r>
    </w:p>
    <w:p>
      <w:pPr>
        <w:jc w:val="center"/>
      </w:pPr>
      <w:r>
        <w:rPr>
          <w:i/>
          <w:color w:val="4B5563"/>
          <w:sz w:val="18"/>
        </w:rPr>
        <w:t>Trainer view of the two-day flow and the order in which learners encounter the labs.</w:t>
      </w:r>
    </w:p>
    <w:p>
      <w:pPr>
        <w:pStyle w:val="Heading1"/>
      </w:pPr>
      <w:r>
        <w:t>Delivery Diagram - Governance Emphasis</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azure-governance-loop.png"/>
                    <pic:cNvPicPr/>
                  </pic:nvPicPr>
                  <pic:blipFill>
                    <a:blip r:embed="rId12"/>
                    <a:stretch>
                      <a:fillRect/>
                    </a:stretch>
                  </pic:blipFill>
                  <pic:spPr>
                    <a:xfrm>
                      <a:off x="0" y="0"/>
                      <a:ext cx="5852160" cy="3291840"/>
                    </a:xfrm>
                    <a:prstGeom prst="rect"/>
                  </pic:spPr>
                </pic:pic>
              </a:graphicData>
            </a:graphic>
          </wp:inline>
        </w:drawing>
      </w:r>
    </w:p>
    <w:p>
      <w:pPr>
        <w:jc w:val="center"/>
      </w:pPr>
      <w:r>
        <w:rPr>
          <w:i/>
          <w:color w:val="4B5563"/>
          <w:sz w:val="18"/>
        </w:rPr>
        <w:t>Day 2 emphasises workload/data protection, posture management and security operations.</w:t>
      </w:r>
    </w:p>
    <w:p>
      <w:pPr>
        <w:pStyle w:val="Heading1"/>
      </w:pPr>
      <w:r>
        <w:t>Delivery Diagram - AZ-500 Lab Domain Matrix</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azure-az500-domain-matrix.png"/>
                    <pic:cNvPicPr/>
                  </pic:nvPicPr>
                  <pic:blipFill>
                    <a:blip r:embed="rId13"/>
                    <a:stretch>
                      <a:fillRect/>
                    </a:stretch>
                  </pic:blipFill>
                  <pic:spPr>
                    <a:xfrm>
                      <a:off x="0" y="0"/>
                      <a:ext cx="5852160" cy="3291840"/>
                    </a:xfrm>
                    <a:prstGeom prst="rect"/>
                  </pic:spPr>
                </pic:pic>
              </a:graphicData>
            </a:graphic>
          </wp:inline>
        </w:drawing>
      </w:r>
    </w:p>
    <w:p>
      <w:pPr>
        <w:jc w:val="center"/>
      </w:pPr>
      <w:r>
        <w:rPr>
          <w:i/>
          <w:color w:val="4B5563"/>
          <w:sz w:val="18"/>
        </w:rPr>
        <w:t>The schedule keeps every activity tied to the eight AZ-500 labs.</w:t>
      </w:r>
    </w:p>
    <w:p>
      <w:pPr>
        <w:pStyle w:val="Heading1"/>
      </w:pPr>
      <w:r>
        <w:t>Day 1</w:t>
      </w:r>
    </w:p>
    <w:p>
      <w:r>
        <w:rPr>
          <w:sz w:val="21"/>
        </w:rPr>
        <w:t>Topic 1: Identity, access and network protection</w:t>
      </w:r>
    </w:p>
    <w:p>
      <w:r>
        <w:rPr>
          <w:sz w:val="21"/>
        </w:rPr>
        <w:t>Morning Session  -  9:00 AM - 1:00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9:00-9:40</w:t>
            </w:r>
          </w:p>
        </w:tc>
        <w:tc>
          <w:tcPr>
            <w:tcW w:type="dxa" w:w="2412"/>
            <w:vAlign w:val="center"/>
          </w:tcPr>
          <w:p>
            <w:r>
              <w:t>Welcome, trainer introduction, ground rules, attendance, assessment briefing and lab access</w:t>
            </w:r>
          </w:p>
        </w:tc>
        <w:tc>
          <w:tcPr>
            <w:tcW w:type="dxa" w:w="2412"/>
            <w:vAlign w:val="center"/>
          </w:tcPr>
          <w:p>
            <w:r>
              <w:t>1-16</w:t>
            </w:r>
          </w:p>
        </w:tc>
        <w:tc>
          <w:tcPr>
            <w:tcW w:type="dxa" w:w="2412"/>
            <w:vAlign w:val="center"/>
          </w:tcPr>
          <w:p>
            <w:r>
              <w:t>40 min</w:t>
            </w:r>
          </w:p>
        </w:tc>
      </w:tr>
      <w:tr>
        <w:tc>
          <w:tcPr>
            <w:tcW w:type="dxa" w:w="2412"/>
            <w:vAlign w:val="center"/>
          </w:tcPr>
          <w:p>
            <w:r>
              <w:t>9:40-10:40</w:t>
            </w:r>
          </w:p>
        </w:tc>
        <w:tc>
          <w:tcPr>
            <w:tcW w:type="dxa" w:w="2412"/>
            <w:vAlign w:val="center"/>
          </w:tcPr>
          <w:p>
            <w:r>
              <w:t>Lab 1: Configure RBAC, custom roles and privileged access review</w:t>
            </w:r>
          </w:p>
        </w:tc>
        <w:tc>
          <w:tcPr>
            <w:tcW w:type="dxa" w:w="2412"/>
            <w:vAlign w:val="center"/>
          </w:tcPr>
          <w:p>
            <w:r>
              <w:t>24-26</w:t>
            </w:r>
          </w:p>
        </w:tc>
        <w:tc>
          <w:tcPr>
            <w:tcW w:type="dxa" w:w="2412"/>
            <w:vAlign w:val="center"/>
          </w:tcPr>
          <w:p>
            <w:r>
              <w:t>60 min</w:t>
            </w:r>
          </w:p>
        </w:tc>
      </w:tr>
      <w:tr>
        <w:tc>
          <w:tcPr>
            <w:tcW w:type="dxa" w:w="2412"/>
            <w:vAlign w:val="center"/>
          </w:tcPr>
          <w:p>
            <w:r>
              <w:t>10:40-10:50</w:t>
            </w:r>
          </w:p>
        </w:tc>
        <w:tc>
          <w:tcPr>
            <w:tcW w:type="dxa" w:w="2412"/>
            <w:vAlign w:val="center"/>
          </w:tcPr>
          <w:p>
            <w:r>
              <w:t>Tea Break</w:t>
            </w:r>
          </w:p>
        </w:tc>
        <w:tc>
          <w:tcPr>
            <w:tcW w:type="dxa" w:w="2412"/>
            <w:vAlign w:val="center"/>
          </w:tcPr>
          <w:p>
            <w:r>
              <w:t>-</w:t>
            </w:r>
          </w:p>
        </w:tc>
        <w:tc>
          <w:tcPr>
            <w:tcW w:type="dxa" w:w="2412"/>
            <w:vAlign w:val="center"/>
          </w:tcPr>
          <w:p>
            <w:r>
              <w:t>10 min</w:t>
            </w:r>
          </w:p>
        </w:tc>
      </w:tr>
      <w:tr>
        <w:tc>
          <w:tcPr>
            <w:tcW w:type="dxa" w:w="2412"/>
            <w:vAlign w:val="center"/>
          </w:tcPr>
          <w:p>
            <w:r>
              <w:t>10:50-12:00</w:t>
            </w:r>
          </w:p>
        </w:tc>
        <w:tc>
          <w:tcPr>
            <w:tcW w:type="dxa" w:w="2412"/>
            <w:vAlign w:val="center"/>
          </w:tcPr>
          <w:p>
            <w:r>
              <w:t>Lab 2: Secure app access with Conditional Access and managed identities</w:t>
            </w:r>
          </w:p>
        </w:tc>
        <w:tc>
          <w:tcPr>
            <w:tcW w:type="dxa" w:w="2412"/>
            <w:vAlign w:val="center"/>
          </w:tcPr>
          <w:p>
            <w:r>
              <w:t>27-29</w:t>
            </w:r>
          </w:p>
        </w:tc>
        <w:tc>
          <w:tcPr>
            <w:tcW w:type="dxa" w:w="2412"/>
            <w:vAlign w:val="center"/>
          </w:tcPr>
          <w:p>
            <w:r>
              <w:t>70 min</w:t>
            </w:r>
          </w:p>
        </w:tc>
      </w:tr>
      <w:tr>
        <w:tc>
          <w:tcPr>
            <w:tcW w:type="dxa" w:w="2412"/>
            <w:vAlign w:val="center"/>
          </w:tcPr>
          <w:p>
            <w:r>
              <w:t>12:00-1:00</w:t>
            </w:r>
          </w:p>
        </w:tc>
        <w:tc>
          <w:tcPr>
            <w:tcW w:type="dxa" w:w="2412"/>
            <w:vAlign w:val="center"/>
          </w:tcPr>
          <w:p>
            <w:r>
              <w:t>Lab review: identity evidence, missing permissions and least privilege decisions</w:t>
            </w:r>
          </w:p>
        </w:tc>
        <w:tc>
          <w:tcPr>
            <w:tcW w:type="dxa" w:w="2412"/>
            <w:vAlign w:val="center"/>
          </w:tcPr>
          <w:p>
            <w:r>
              <w:t>24-29</w:t>
            </w:r>
          </w:p>
        </w:tc>
        <w:tc>
          <w:tcPr>
            <w:tcW w:type="dxa" w:w="2412"/>
            <w:vAlign w:val="center"/>
          </w:tcPr>
          <w:p>
            <w:r>
              <w:t>60 min</w:t>
            </w:r>
          </w:p>
        </w:tc>
      </w:tr>
    </w:tbl>
    <w:p/>
    <w:p>
      <w:r>
        <w:rPr>
          <w:sz w:val="21"/>
        </w:rPr>
        <w:t>Lunch  -  1:00 PM - 1:45 PM</w:t>
      </w:r>
    </w:p>
    <w:p>
      <w:r>
        <w:rPr>
          <w:sz w:val="21"/>
        </w:rPr>
        <w:t>Afternoon Session  -  1:45 PM - 6:00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1:45-3:15</w:t>
            </w:r>
          </w:p>
        </w:tc>
        <w:tc>
          <w:tcPr>
            <w:tcW w:type="dxa" w:w="2412"/>
            <w:vAlign w:val="center"/>
          </w:tcPr>
          <w:p>
            <w:r>
              <w:t>Lab 3: Secure virtual networks with NSGs, ASGs, peering and Network Watcher</w:t>
            </w:r>
          </w:p>
        </w:tc>
        <w:tc>
          <w:tcPr>
            <w:tcW w:type="dxa" w:w="2412"/>
            <w:vAlign w:val="center"/>
          </w:tcPr>
          <w:p>
            <w:r>
              <w:t>30-32</w:t>
            </w:r>
          </w:p>
        </w:tc>
        <w:tc>
          <w:tcPr>
            <w:tcW w:type="dxa" w:w="2412"/>
            <w:vAlign w:val="center"/>
          </w:tcPr>
          <w:p>
            <w:r>
              <w:t>90 min</w:t>
            </w:r>
          </w:p>
        </w:tc>
      </w:tr>
      <w:tr>
        <w:tc>
          <w:tcPr>
            <w:tcW w:type="dxa" w:w="2412"/>
            <w:vAlign w:val="center"/>
          </w:tcPr>
          <w:p>
            <w:r>
              <w:t>3:15-3:25</w:t>
            </w:r>
          </w:p>
        </w:tc>
        <w:tc>
          <w:tcPr>
            <w:tcW w:type="dxa" w:w="2412"/>
            <w:vAlign w:val="center"/>
          </w:tcPr>
          <w:p>
            <w:r>
              <w:t>Tea Break</w:t>
            </w:r>
          </w:p>
        </w:tc>
        <w:tc>
          <w:tcPr>
            <w:tcW w:type="dxa" w:w="2412"/>
            <w:vAlign w:val="center"/>
          </w:tcPr>
          <w:p>
            <w:r>
              <w:t>-</w:t>
            </w:r>
          </w:p>
        </w:tc>
        <w:tc>
          <w:tcPr>
            <w:tcW w:type="dxa" w:w="2412"/>
            <w:vAlign w:val="center"/>
          </w:tcPr>
          <w:p>
            <w:r>
              <w:t>10 min</w:t>
            </w:r>
          </w:p>
        </w:tc>
      </w:tr>
      <w:tr>
        <w:tc>
          <w:tcPr>
            <w:tcW w:type="dxa" w:w="2412"/>
            <w:vAlign w:val="center"/>
          </w:tcPr>
          <w:p>
            <w:r>
              <w:t>3:25-5:10</w:t>
            </w:r>
          </w:p>
        </w:tc>
        <w:tc>
          <w:tcPr>
            <w:tcW w:type="dxa" w:w="2412"/>
            <w:vAlign w:val="center"/>
          </w:tcPr>
          <w:p>
            <w:r>
              <w:t>Lab 4: Protect public and private access with Azure Firewall, WAF and Private Endpoints</w:t>
            </w:r>
          </w:p>
        </w:tc>
        <w:tc>
          <w:tcPr>
            <w:tcW w:type="dxa" w:w="2412"/>
            <w:vAlign w:val="center"/>
          </w:tcPr>
          <w:p>
            <w:r>
              <w:t>33-35</w:t>
            </w:r>
          </w:p>
        </w:tc>
        <w:tc>
          <w:tcPr>
            <w:tcW w:type="dxa" w:w="2412"/>
            <w:vAlign w:val="center"/>
          </w:tcPr>
          <w:p>
            <w:r>
              <w:t>105 min</w:t>
            </w:r>
          </w:p>
        </w:tc>
      </w:tr>
      <w:tr>
        <w:tc>
          <w:tcPr>
            <w:tcW w:type="dxa" w:w="2412"/>
            <w:vAlign w:val="center"/>
          </w:tcPr>
          <w:p>
            <w:r>
              <w:t>5:10-6:00</w:t>
            </w:r>
          </w:p>
        </w:tc>
        <w:tc>
          <w:tcPr>
            <w:tcW w:type="dxa" w:w="2412"/>
            <w:vAlign w:val="center"/>
          </w:tcPr>
          <w:p>
            <w:r>
              <w:t>Day 1 recap: identity/network threat model and lab evidence review</w:t>
            </w:r>
          </w:p>
        </w:tc>
        <w:tc>
          <w:tcPr>
            <w:tcW w:type="dxa" w:w="2412"/>
            <w:vAlign w:val="center"/>
          </w:tcPr>
          <w:p>
            <w:r>
              <w:t>30-35</w:t>
            </w:r>
          </w:p>
        </w:tc>
        <w:tc>
          <w:tcPr>
            <w:tcW w:type="dxa" w:w="2412"/>
            <w:vAlign w:val="center"/>
          </w:tcPr>
          <w:p>
            <w:r>
              <w:t>50 min</w:t>
            </w:r>
          </w:p>
        </w:tc>
      </w:tr>
    </w:tbl>
    <w:p/>
    <w:p>
      <w:pPr>
        <w:pStyle w:val="Heading1"/>
      </w:pPr>
      <w:r>
        <w:t>Day 2</w:t>
      </w:r>
    </w:p>
    <w:p>
      <w:r>
        <w:rPr>
          <w:sz w:val="21"/>
        </w:rPr>
        <w:t>Topic 2: Platform protection, data protection and security operations</w:t>
      </w:r>
    </w:p>
    <w:p>
      <w:r>
        <w:rPr>
          <w:sz w:val="21"/>
        </w:rPr>
        <w:t>Morning Session  -  9:00 AM - 1:00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9:00-10:25</w:t>
            </w:r>
          </w:p>
        </w:tc>
        <w:tc>
          <w:tcPr>
            <w:tcW w:type="dxa" w:w="2412"/>
            <w:vAlign w:val="center"/>
          </w:tcPr>
          <w:p>
            <w:r>
              <w:t>Lab 5: Secure virtual machines, Bastion, JIT access and disk encryption</w:t>
            </w:r>
          </w:p>
        </w:tc>
        <w:tc>
          <w:tcPr>
            <w:tcW w:type="dxa" w:w="2412"/>
            <w:vAlign w:val="center"/>
          </w:tcPr>
          <w:p>
            <w:r>
              <w:t>36-38</w:t>
            </w:r>
          </w:p>
        </w:tc>
        <w:tc>
          <w:tcPr>
            <w:tcW w:type="dxa" w:w="2412"/>
            <w:vAlign w:val="center"/>
          </w:tcPr>
          <w:p>
            <w:r>
              <w:t>85 min</w:t>
            </w:r>
          </w:p>
        </w:tc>
      </w:tr>
      <w:tr>
        <w:tc>
          <w:tcPr>
            <w:tcW w:type="dxa" w:w="2412"/>
            <w:vAlign w:val="center"/>
          </w:tcPr>
          <w:p>
            <w:r>
              <w:t>10:25-10:35</w:t>
            </w:r>
          </w:p>
        </w:tc>
        <w:tc>
          <w:tcPr>
            <w:tcW w:type="dxa" w:w="2412"/>
            <w:vAlign w:val="center"/>
          </w:tcPr>
          <w:p>
            <w:r>
              <w:t>Tea Break</w:t>
            </w:r>
          </w:p>
        </w:tc>
        <w:tc>
          <w:tcPr>
            <w:tcW w:type="dxa" w:w="2412"/>
            <w:vAlign w:val="center"/>
          </w:tcPr>
          <w:p>
            <w:r>
              <w:t>-</w:t>
            </w:r>
          </w:p>
        </w:tc>
        <w:tc>
          <w:tcPr>
            <w:tcW w:type="dxa" w:w="2412"/>
            <w:vAlign w:val="center"/>
          </w:tcPr>
          <w:p>
            <w:r>
              <w:t>10 min</w:t>
            </w:r>
          </w:p>
        </w:tc>
      </w:tr>
      <w:tr>
        <w:tc>
          <w:tcPr>
            <w:tcW w:type="dxa" w:w="2412"/>
            <w:vAlign w:val="center"/>
          </w:tcPr>
          <w:p>
            <w:r>
              <w:t>10:35-12:00</w:t>
            </w:r>
          </w:p>
        </w:tc>
        <w:tc>
          <w:tcPr>
            <w:tcW w:type="dxa" w:w="2412"/>
            <w:vAlign w:val="center"/>
          </w:tcPr>
          <w:p>
            <w:r>
              <w:t>Lab 6: Protect Storage, SQL Database and Key Vault secrets</w:t>
            </w:r>
          </w:p>
        </w:tc>
        <w:tc>
          <w:tcPr>
            <w:tcW w:type="dxa" w:w="2412"/>
            <w:vAlign w:val="center"/>
          </w:tcPr>
          <w:p>
            <w:r>
              <w:t>39-41</w:t>
            </w:r>
          </w:p>
        </w:tc>
        <w:tc>
          <w:tcPr>
            <w:tcW w:type="dxa" w:w="2412"/>
            <w:vAlign w:val="center"/>
          </w:tcPr>
          <w:p>
            <w:r>
              <w:t>85 min</w:t>
            </w:r>
          </w:p>
        </w:tc>
      </w:tr>
      <w:tr>
        <w:tc>
          <w:tcPr>
            <w:tcW w:type="dxa" w:w="2412"/>
            <w:vAlign w:val="center"/>
          </w:tcPr>
          <w:p>
            <w:r>
              <w:t>12:00-1:00</w:t>
            </w:r>
          </w:p>
        </w:tc>
        <w:tc>
          <w:tcPr>
            <w:tcW w:type="dxa" w:w="2412"/>
            <w:vAlign w:val="center"/>
          </w:tcPr>
          <w:p>
            <w:r>
              <w:t>Lab review: compute/data evidence, encryption and public exposure decisions</w:t>
            </w:r>
          </w:p>
        </w:tc>
        <w:tc>
          <w:tcPr>
            <w:tcW w:type="dxa" w:w="2412"/>
            <w:vAlign w:val="center"/>
          </w:tcPr>
          <w:p>
            <w:r>
              <w:t>36-41</w:t>
            </w:r>
          </w:p>
        </w:tc>
        <w:tc>
          <w:tcPr>
            <w:tcW w:type="dxa" w:w="2412"/>
            <w:vAlign w:val="center"/>
          </w:tcPr>
          <w:p>
            <w:r>
              <w:t>60 min</w:t>
            </w:r>
          </w:p>
        </w:tc>
      </w:tr>
    </w:tbl>
    <w:p/>
    <w:p>
      <w:r>
        <w:rPr>
          <w:sz w:val="21"/>
        </w:rPr>
        <w:t>Lunch  -  1:00 PM - 1:45 PM</w:t>
      </w:r>
    </w:p>
    <w:p>
      <w:r>
        <w:rPr>
          <w:sz w:val="21"/>
        </w:rPr>
        <w:t>Afternoon Session  -  1:45 PM - 6:00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1:45-2:45</w:t>
            </w:r>
          </w:p>
        </w:tc>
        <w:tc>
          <w:tcPr>
            <w:tcW w:type="dxa" w:w="2412"/>
            <w:vAlign w:val="center"/>
          </w:tcPr>
          <w:p>
            <w:r>
              <w:t>Lab 7: Manage security posture with Azure Policy and Defender for Cloud</w:t>
            </w:r>
          </w:p>
        </w:tc>
        <w:tc>
          <w:tcPr>
            <w:tcW w:type="dxa" w:w="2412"/>
            <w:vAlign w:val="center"/>
          </w:tcPr>
          <w:p>
            <w:r>
              <w:t>42-44</w:t>
            </w:r>
          </w:p>
        </w:tc>
        <w:tc>
          <w:tcPr>
            <w:tcW w:type="dxa" w:w="2412"/>
            <w:vAlign w:val="center"/>
          </w:tcPr>
          <w:p>
            <w:r>
              <w:t>60 min</w:t>
            </w:r>
          </w:p>
        </w:tc>
      </w:tr>
      <w:tr>
        <w:tc>
          <w:tcPr>
            <w:tcW w:type="dxa" w:w="2412"/>
            <w:vAlign w:val="center"/>
          </w:tcPr>
          <w:p>
            <w:r>
              <w:t>2:45-3:45</w:t>
            </w:r>
          </w:p>
        </w:tc>
        <w:tc>
          <w:tcPr>
            <w:tcW w:type="dxa" w:w="2412"/>
            <w:vAlign w:val="center"/>
          </w:tcPr>
          <w:p>
            <w:r>
              <w:t>Lab 8: Monitor, investigate and automate with Microsoft Sentinel</w:t>
            </w:r>
          </w:p>
        </w:tc>
        <w:tc>
          <w:tcPr>
            <w:tcW w:type="dxa" w:w="2412"/>
            <w:vAlign w:val="center"/>
          </w:tcPr>
          <w:p>
            <w:r>
              <w:t>45-47</w:t>
            </w:r>
          </w:p>
        </w:tc>
        <w:tc>
          <w:tcPr>
            <w:tcW w:type="dxa" w:w="2412"/>
            <w:vAlign w:val="center"/>
          </w:tcPr>
          <w:p>
            <w:r>
              <w:t>60 min</w:t>
            </w:r>
          </w:p>
        </w:tc>
      </w:tr>
      <w:tr>
        <w:tc>
          <w:tcPr>
            <w:tcW w:type="dxa" w:w="2412"/>
            <w:vAlign w:val="center"/>
          </w:tcPr>
          <w:p>
            <w:r>
              <w:t>3:45-4:00</w:t>
            </w:r>
          </w:p>
        </w:tc>
        <w:tc>
          <w:tcPr>
            <w:tcW w:type="dxa" w:w="2412"/>
            <w:vAlign w:val="center"/>
          </w:tcPr>
          <w:p>
            <w:r>
              <w:t>Assessment readiness briefing and submission checks</w:t>
            </w:r>
          </w:p>
        </w:tc>
        <w:tc>
          <w:tcPr>
            <w:tcW w:type="dxa" w:w="2412"/>
            <w:vAlign w:val="center"/>
          </w:tcPr>
          <w:p>
            <w:r>
              <w:t>Assessment slides</w:t>
            </w:r>
          </w:p>
        </w:tc>
        <w:tc>
          <w:tcPr>
            <w:tcW w:type="dxa" w:w="2412"/>
            <w:vAlign w:val="center"/>
          </w:tcPr>
          <w:p>
            <w:r>
              <w:t>15 min</w:t>
            </w:r>
          </w:p>
        </w:tc>
      </w:tr>
      <w:tr>
        <w:tc>
          <w:tcPr>
            <w:tcW w:type="dxa" w:w="2412"/>
            <w:vAlign w:val="center"/>
          </w:tcPr>
          <w:p>
            <w:r>
              <w:t>4:00-5:00</w:t>
            </w:r>
          </w:p>
        </w:tc>
        <w:tc>
          <w:tcPr>
            <w:tcW w:type="dxa" w:w="2412"/>
            <w:vAlign w:val="center"/>
          </w:tcPr>
          <w:p>
            <w:r>
              <w:t>Written Assessment (WA)</w:t>
            </w:r>
          </w:p>
        </w:tc>
        <w:tc>
          <w:tcPr>
            <w:tcW w:type="dxa" w:w="2412"/>
            <w:vAlign w:val="center"/>
          </w:tcPr>
          <w:p>
            <w:r>
              <w:t>-</w:t>
            </w:r>
          </w:p>
        </w:tc>
        <w:tc>
          <w:tcPr>
            <w:tcW w:type="dxa" w:w="2412"/>
            <w:vAlign w:val="center"/>
          </w:tcPr>
          <w:p>
            <w:r>
              <w:t>60 min</w:t>
            </w:r>
          </w:p>
        </w:tc>
      </w:tr>
      <w:tr>
        <w:tc>
          <w:tcPr>
            <w:tcW w:type="dxa" w:w="2412"/>
            <w:vAlign w:val="center"/>
          </w:tcPr>
          <w:p>
            <w:r>
              <w:t>5:00-6:00</w:t>
            </w:r>
          </w:p>
        </w:tc>
        <w:tc>
          <w:tcPr>
            <w:tcW w:type="dxa" w:w="2412"/>
            <w:vAlign w:val="center"/>
          </w:tcPr>
          <w:p>
            <w:r>
              <w:t>Practical Performance (PP), LMS submission and Assessment Summary Record</w:t>
            </w:r>
          </w:p>
        </w:tc>
        <w:tc>
          <w:tcPr>
            <w:tcW w:type="dxa" w:w="2412"/>
            <w:vAlign w:val="center"/>
          </w:tcPr>
          <w:p>
            <w:r>
              <w:t>-</w:t>
            </w:r>
          </w:p>
        </w:tc>
        <w:tc>
          <w:tcPr>
            <w:tcW w:type="dxa" w:w="2412"/>
            <w:vAlign w:val="center"/>
          </w:tcPr>
          <w:p>
            <w:r>
              <w:t>60 min</w:t>
            </w:r>
          </w:p>
        </w:tc>
      </w:tr>
    </w:tbl>
    <w:p/>
    <w:p>
      <w:pPr>
        <w:pStyle w:val="Heading1"/>
      </w:pPr>
      <w:r>
        <w:t>Topic-by-topic Breakdown with Slide Numbers</w:t>
      </w:r>
    </w:p>
    <w:p>
      <w:pPr>
        <w:pStyle w:val="Heading2"/>
      </w:pPr>
      <w:r>
        <w:t>Lab 1 - Configure RBAC, Custom Roles, and Privileged Access Review - Slides 24-26</w:t>
      </w:r>
    </w:p>
    <w:p>
      <w:r>
        <w:rPr>
          <w:sz w:val="21"/>
        </w:rPr>
        <w:t>Domain: Domain 1 - Secure identity and access. Source lab file: labs/lab-01-identity-rbac-pim.md.</w:t>
      </w:r>
    </w:p>
    <w:p>
      <w:r>
        <w:rPr>
          <w:sz w:val="21"/>
        </w:rPr>
        <w:t>In this lab you will configure Azure role-based access control, create a scoped custom role, and review privileged access patterns with Microsoft Entra Privileged Identity Management.</w:t>
      </w:r>
    </w:p>
    <w:p>
      <w:pPr>
        <w:pStyle w:val="ListBullet"/>
      </w:pPr>
      <w:r>
        <w:rPr>
          <w:sz w:val="21"/>
        </w:rPr>
        <w:t>Step 1 - Create the training resource group</w:t>
      </w:r>
    </w:p>
    <w:p>
      <w:pPr>
        <w:pStyle w:val="ListBullet"/>
      </w:pPr>
      <w:r>
        <w:rPr>
          <w:sz w:val="21"/>
        </w:rPr>
        <w:t>Step 2 - Review inherited access</w:t>
      </w:r>
    </w:p>
    <w:p>
      <w:pPr>
        <w:pStyle w:val="ListBullet"/>
      </w:pPr>
      <w:r>
        <w:rPr>
          <w:sz w:val="21"/>
        </w:rPr>
        <w:t>Step 3 - Assign a built-in role</w:t>
      </w:r>
    </w:p>
    <w:p>
      <w:pPr>
        <w:pStyle w:val="ListBullet"/>
      </w:pPr>
      <w:r>
        <w:rPr>
          <w:sz w:val="21"/>
        </w:rPr>
        <w:t>Step 4 - Create a custom role definition</w:t>
      </w:r>
    </w:p>
    <w:p>
      <w:pPr>
        <w:pStyle w:val="ListBullet"/>
      </w:pPr>
      <w:r>
        <w:rPr>
          <w:sz w:val="21"/>
        </w:rPr>
        <w:t>Step 5 - Review privileged identity management</w:t>
      </w:r>
    </w:p>
    <w:p>
      <w:pPr>
        <w:pStyle w:val="Heading2"/>
      </w:pPr>
      <w:r>
        <w:t>Lab 2 - Secure App Access with Conditional Access and Managed Identities - Slides 27-29</w:t>
      </w:r>
    </w:p>
    <w:p>
      <w:r>
        <w:rPr>
          <w:sz w:val="21"/>
        </w:rPr>
        <w:t>Domain: Domain 1 - Secure identity and access. Source lab file: labs/lab-02-conditional-access-managed-identities.md.</w:t>
      </w:r>
    </w:p>
    <w:p>
      <w:r>
        <w:rPr>
          <w:sz w:val="21"/>
        </w:rPr>
        <w:t>In this lab you will review Conditional Access, app registrations, service principals, OAuth consent, and managed identities. These controls are central to secure identity and application access in Azure.</w:t>
      </w:r>
    </w:p>
    <w:p>
      <w:pPr>
        <w:pStyle w:val="ListBullet"/>
      </w:pPr>
      <w:r>
        <w:rPr>
          <w:sz w:val="21"/>
        </w:rPr>
        <w:t>Step 1 - Review Conditional Access policies</w:t>
      </w:r>
    </w:p>
    <w:p>
      <w:pPr>
        <w:pStyle w:val="ListBullet"/>
      </w:pPr>
      <w:r>
        <w:rPr>
          <w:sz w:val="21"/>
        </w:rPr>
        <w:t>Step 2 - Review sign-in impact</w:t>
      </w:r>
    </w:p>
    <w:p>
      <w:pPr>
        <w:pStyle w:val="ListBullet"/>
      </w:pPr>
      <w:r>
        <w:rPr>
          <w:sz w:val="21"/>
        </w:rPr>
        <w:t>Step 3 - Create an app registration</w:t>
      </w:r>
    </w:p>
    <w:p>
      <w:pPr>
        <w:pStyle w:val="ListBullet"/>
      </w:pPr>
      <w:r>
        <w:rPr>
          <w:sz w:val="21"/>
        </w:rPr>
        <w:t>Step 4 - Review API permissions and consent</w:t>
      </w:r>
    </w:p>
    <w:p>
      <w:pPr>
        <w:pStyle w:val="ListBullet"/>
      </w:pPr>
      <w:r>
        <w:rPr>
          <w:sz w:val="21"/>
        </w:rPr>
        <w:t>Step 5 - Enable a managed identity</w:t>
      </w:r>
    </w:p>
    <w:p>
      <w:pPr>
        <w:pStyle w:val="Heading2"/>
      </w:pPr>
      <w:r>
        <w:t>Lab 3 - Secure Virtual Networks with NSGs, ASGs, Peering, and Network Watcher - Slides 30-32</w:t>
      </w:r>
    </w:p>
    <w:p>
      <w:r>
        <w:rPr>
          <w:sz w:val="21"/>
        </w:rPr>
        <w:t>Domain: Domain 2 - Secure networking. Source lab file: labs/lab-03-network-security-nsg-asg.md.</w:t>
      </w:r>
    </w:p>
    <w:p>
      <w:r>
        <w:rPr>
          <w:sz w:val="21"/>
        </w:rPr>
        <w:t>In this lab you will create a segmented virtual network, apply Network Security Groups, use Application Security Groups, and validate traffic using Network Watcher.</w:t>
      </w:r>
    </w:p>
    <w:p>
      <w:pPr>
        <w:pStyle w:val="ListBullet"/>
      </w:pPr>
      <w:r>
        <w:rPr>
          <w:sz w:val="21"/>
        </w:rPr>
        <w:t>Step 1 - Create a virtual network</w:t>
      </w:r>
    </w:p>
    <w:p>
      <w:pPr>
        <w:pStyle w:val="ListBullet"/>
      </w:pPr>
      <w:r>
        <w:rPr>
          <w:sz w:val="21"/>
        </w:rPr>
        <w:t>Step 2 - Create application security groups</w:t>
      </w:r>
    </w:p>
    <w:p>
      <w:pPr>
        <w:pStyle w:val="ListBullet"/>
      </w:pPr>
      <w:r>
        <w:rPr>
          <w:sz w:val="21"/>
        </w:rPr>
        <w:t>Step 3 - Create network security groups</w:t>
      </w:r>
    </w:p>
    <w:p>
      <w:pPr>
        <w:pStyle w:val="ListBullet"/>
      </w:pPr>
      <w:r>
        <w:rPr>
          <w:sz w:val="21"/>
        </w:rPr>
        <w:t>Step 4 - Associate NSGs to subnets</w:t>
      </w:r>
    </w:p>
    <w:p>
      <w:pPr>
        <w:pStyle w:val="ListBullet"/>
      </w:pPr>
      <w:r>
        <w:rPr>
          <w:sz w:val="21"/>
        </w:rPr>
        <w:t>Step 5 - Use Network Watcher IP flow verify</w:t>
      </w:r>
    </w:p>
    <w:p>
      <w:pPr>
        <w:pStyle w:val="Heading2"/>
      </w:pPr>
      <w:r>
        <w:t>Lab 4 - Protect Public and Private Access with Azure Firewall, WAF, and Private Endpoints - Slides 33-35</w:t>
      </w:r>
    </w:p>
    <w:p>
      <w:r>
        <w:rPr>
          <w:sz w:val="21"/>
        </w:rPr>
        <w:t>Domain: Domain 2 - Secure networking. Source lab file: labs/lab-04-firewall-waf-private-endpoints.md.</w:t>
      </w:r>
    </w:p>
    <w:p>
      <w:r>
        <w:rPr>
          <w:sz w:val="21"/>
        </w:rPr>
        <w:t>In this lab you will design public and private access protections using Azure Firewall, Web Application Firewall concepts, and Private Endpoints. Some resources can be reviewed instead of deployed if your training subscription has quota or cost limits.</w:t>
      </w:r>
    </w:p>
    <w:p>
      <w:pPr>
        <w:pStyle w:val="ListBullet"/>
      </w:pPr>
      <w:r>
        <w:rPr>
          <w:sz w:val="21"/>
        </w:rPr>
        <w:t>Step 1 - Plan firewall placement</w:t>
      </w:r>
    </w:p>
    <w:p>
      <w:pPr>
        <w:pStyle w:val="ListBullet"/>
      </w:pPr>
      <w:r>
        <w:rPr>
          <w:sz w:val="21"/>
        </w:rPr>
        <w:t>Step 2 - Review firewall policy rules</w:t>
      </w:r>
    </w:p>
    <w:p>
      <w:pPr>
        <w:pStyle w:val="ListBullet"/>
      </w:pPr>
      <w:r>
        <w:rPr>
          <w:sz w:val="21"/>
        </w:rPr>
        <w:t>Step 3 - Review WAF protection</w:t>
      </w:r>
    </w:p>
    <w:p>
      <w:pPr>
        <w:pStyle w:val="ListBullet"/>
      </w:pPr>
      <w:r>
        <w:rPr>
          <w:sz w:val="21"/>
        </w:rPr>
        <w:t>Step 4 - Create a storage account private endpoint</w:t>
      </w:r>
    </w:p>
    <w:p>
      <w:pPr>
        <w:pStyle w:val="ListBullet"/>
      </w:pPr>
      <w:r>
        <w:rPr>
          <w:sz w:val="21"/>
        </w:rPr>
        <w:t>Step 5 - Review public access settings</w:t>
      </w:r>
    </w:p>
    <w:p>
      <w:pPr>
        <w:pStyle w:val="Heading2"/>
      </w:pPr>
      <w:r>
        <w:t>Lab 5 - Secure Virtual Machines, Bastion, JIT Access, and Disk Encryption - Slides 36-38</w:t>
      </w:r>
    </w:p>
    <w:p>
      <w:r>
        <w:rPr>
          <w:sz w:val="21"/>
        </w:rPr>
        <w:t>Domain: Domain 3 - Secure compute, storage, and databases. Source lab file: labs/lab-05-compute-security-vm-bastion-jit.md.</w:t>
      </w:r>
    </w:p>
    <w:p>
      <w:r>
        <w:rPr>
          <w:sz w:val="21"/>
        </w:rPr>
        <w:t>In this lab you will secure administrative access to virtual machines and review compute hardening options such as Bastion, Just-in-Time access, and disk encryption.</w:t>
      </w:r>
    </w:p>
    <w:p>
      <w:pPr>
        <w:pStyle w:val="ListBullet"/>
      </w:pPr>
      <w:r>
        <w:rPr>
          <w:sz w:val="21"/>
        </w:rPr>
        <w:t>Step 1 - Create a test virtual machine</w:t>
      </w:r>
    </w:p>
    <w:p>
      <w:pPr>
        <w:pStyle w:val="ListBullet"/>
      </w:pPr>
      <w:r>
        <w:rPr>
          <w:sz w:val="21"/>
        </w:rPr>
        <w:t>Step 2 - Deploy or review Azure Bastion</w:t>
      </w:r>
    </w:p>
    <w:p>
      <w:pPr>
        <w:pStyle w:val="ListBullet"/>
      </w:pPr>
      <w:r>
        <w:rPr>
          <w:sz w:val="21"/>
        </w:rPr>
        <w:t>Step 3 - Remove public management exposure</w:t>
      </w:r>
    </w:p>
    <w:p>
      <w:pPr>
        <w:pStyle w:val="ListBullet"/>
      </w:pPr>
      <w:r>
        <w:rPr>
          <w:sz w:val="21"/>
        </w:rPr>
        <w:t>Step 4 - Configure Just-in-Time VM access</w:t>
      </w:r>
    </w:p>
    <w:p>
      <w:pPr>
        <w:pStyle w:val="ListBullet"/>
      </w:pPr>
      <w:r>
        <w:rPr>
          <w:sz w:val="21"/>
        </w:rPr>
        <w:t>Step 5 - Review disk encryption options</w:t>
      </w:r>
    </w:p>
    <w:p>
      <w:pPr>
        <w:pStyle w:val="Heading2"/>
      </w:pPr>
      <w:r>
        <w:t>Lab 6 - Protect Storage, SQL Database, and Key Vault Secrets - Slides 39-41</w:t>
      </w:r>
    </w:p>
    <w:p>
      <w:r>
        <w:rPr>
          <w:sz w:val="21"/>
        </w:rPr>
        <w:t>Domain: Domain 3 - Secure compute, storage, and databases. Source lab file: labs/lab-06-storage-sql-key-vault.md.</w:t>
      </w:r>
    </w:p>
    <w:p>
      <w:r>
        <w:rPr>
          <w:sz w:val="21"/>
        </w:rPr>
        <w:t>In this lab you will configure security controls for Azure Storage, Azure SQL Database, and Azure Key Vault.</w:t>
      </w:r>
    </w:p>
    <w:p>
      <w:pPr>
        <w:pStyle w:val="ListBullet"/>
      </w:pPr>
      <w:r>
        <w:rPr>
          <w:sz w:val="21"/>
        </w:rPr>
        <w:t>Step 1 - Harden storage account access</w:t>
      </w:r>
    </w:p>
    <w:p>
      <w:pPr>
        <w:pStyle w:val="ListBullet"/>
      </w:pPr>
      <w:r>
        <w:rPr>
          <w:sz w:val="21"/>
        </w:rPr>
        <w:t>Step 2 - Review storage keys and shared access</w:t>
      </w:r>
    </w:p>
    <w:p>
      <w:pPr>
        <w:pStyle w:val="ListBullet"/>
      </w:pPr>
      <w:r>
        <w:rPr>
          <w:sz w:val="21"/>
        </w:rPr>
        <w:t>Step 3 - Create a Key Vault</w:t>
      </w:r>
    </w:p>
    <w:p>
      <w:pPr>
        <w:pStyle w:val="ListBullet"/>
      </w:pPr>
      <w:r>
        <w:rPr>
          <w:sz w:val="21"/>
        </w:rPr>
        <w:t>Step 4 - Add and protect a secret</w:t>
      </w:r>
    </w:p>
    <w:p>
      <w:pPr>
        <w:pStyle w:val="ListBullet"/>
      </w:pPr>
      <w:r>
        <w:rPr>
          <w:sz w:val="21"/>
        </w:rPr>
        <w:t>Step 5 - Create or review Azure SQL Database security</w:t>
      </w:r>
    </w:p>
    <w:p>
      <w:pPr>
        <w:pStyle w:val="Heading2"/>
      </w:pPr>
      <w:r>
        <w:t>Lab 7 - Manage Security Posture with Azure Policy and Defender for Cloud - Slides 42-44</w:t>
      </w:r>
    </w:p>
    <w:p>
      <w:r>
        <w:rPr>
          <w:sz w:val="21"/>
        </w:rPr>
        <w:t>Domain: Domain 4 - Manage security operations. Source lab file: labs/lab-07-defender-policy-secure-score.md.</w:t>
      </w:r>
    </w:p>
    <w:p>
      <w:r>
        <w:rPr>
          <w:sz w:val="21"/>
        </w:rPr>
        <w:t>In this lab you will use Azure Policy and Microsoft Defender for Cloud to assess compliance, secure score, and recommended remediation actions.</w:t>
      </w:r>
    </w:p>
    <w:p>
      <w:pPr>
        <w:pStyle w:val="ListBullet"/>
      </w:pPr>
      <w:r>
        <w:rPr>
          <w:sz w:val="21"/>
        </w:rPr>
        <w:t>Step 1 - Assign an Azure Policy</w:t>
      </w:r>
    </w:p>
    <w:p>
      <w:pPr>
        <w:pStyle w:val="ListBullet"/>
      </w:pPr>
      <w:r>
        <w:rPr>
          <w:sz w:val="21"/>
        </w:rPr>
        <w:t>Step 2 - Review compliance</w:t>
      </w:r>
    </w:p>
    <w:p>
      <w:pPr>
        <w:pStyle w:val="ListBullet"/>
      </w:pPr>
      <w:r>
        <w:rPr>
          <w:sz w:val="21"/>
        </w:rPr>
        <w:t>Step 3 - Open Defender for Cloud</w:t>
      </w:r>
    </w:p>
    <w:p>
      <w:pPr>
        <w:pStyle w:val="ListBullet"/>
      </w:pPr>
      <w:r>
        <w:rPr>
          <w:sz w:val="21"/>
        </w:rPr>
        <w:t>Step 4 - Review regulatory compliance</w:t>
      </w:r>
    </w:p>
    <w:p>
      <w:pPr>
        <w:pStyle w:val="ListBullet"/>
      </w:pPr>
      <w:r>
        <w:rPr>
          <w:sz w:val="21"/>
        </w:rPr>
        <w:t>Step 5 - Review Defender plans</w:t>
      </w:r>
    </w:p>
    <w:p>
      <w:pPr>
        <w:pStyle w:val="Heading2"/>
      </w:pPr>
      <w:r>
        <w:t>Lab 8 - Monitor, Investigate, and Automate with Microsoft Sentinel - Slides 45-47</w:t>
      </w:r>
    </w:p>
    <w:p>
      <w:r>
        <w:rPr>
          <w:sz w:val="21"/>
        </w:rPr>
        <w:t>Domain: Domain 4 - Manage security operations. Source lab file: labs/lab-08-sentinel-monitor-investigate-automate.md.</w:t>
      </w:r>
    </w:p>
    <w:p>
      <w:r>
        <w:rPr>
          <w:sz w:val="21"/>
        </w:rPr>
        <w:t>In this lab you will configure a Microsoft Sentinel workspace, connect data, run KQL queries, create an analytics rule, and review automation options.</w:t>
      </w:r>
    </w:p>
    <w:p>
      <w:pPr>
        <w:pStyle w:val="ListBullet"/>
      </w:pPr>
      <w:r>
        <w:rPr>
          <w:sz w:val="21"/>
        </w:rPr>
        <w:t>Step 1 - Create a Log Analytics workspace</w:t>
      </w:r>
    </w:p>
    <w:p>
      <w:pPr>
        <w:pStyle w:val="ListBullet"/>
      </w:pPr>
      <w:r>
        <w:rPr>
          <w:sz w:val="21"/>
        </w:rPr>
        <w:t>Step 2 - Enable Microsoft Sentinel</w:t>
      </w:r>
    </w:p>
    <w:p>
      <w:pPr>
        <w:pStyle w:val="ListBullet"/>
      </w:pPr>
      <w:r>
        <w:rPr>
          <w:sz w:val="21"/>
        </w:rPr>
        <w:t>Step 3 - Connect Azure activity data</w:t>
      </w:r>
    </w:p>
    <w:p>
      <w:pPr>
        <w:pStyle w:val="ListBullet"/>
      </w:pPr>
      <w:r>
        <w:rPr>
          <w:sz w:val="21"/>
        </w:rPr>
        <w:t>Step 4 - Run basic KQL queries</w:t>
      </w:r>
    </w:p>
    <w:p>
      <w:pPr>
        <w:pStyle w:val="ListBullet"/>
      </w:pPr>
      <w:r>
        <w:rPr>
          <w:sz w:val="21"/>
        </w:rPr>
        <w:t>Step 5 - Create an analytics rule</w:t>
      </w:r>
    </w:p>
    <w:p>
      <w:pPr>
        <w:pStyle w:val="ListBullet"/>
      </w:pPr>
      <w:r>
        <w:rPr>
          <w:sz w:val="21"/>
        </w:rPr>
        <w:t>Step 6 - Review automation</w:t>
      </w:r>
    </w:p>
    <w:p>
      <w:pPr>
        <w:pStyle w:val="Heading1"/>
      </w:pPr>
      <w:r>
        <w:t>Tools, Accounts &amp; Resources</w:t>
      </w:r>
    </w:p>
    <w:tbl>
      <w:tblPr>
        <w:tblStyle w:val="TableGrid"/>
        <w:tblW w:type="auto" w:w="0"/>
        <w:tblLook w:firstColumn="1" w:firstRow="1" w:lastColumn="0" w:lastRow="0" w:noHBand="0" w:noVBand="1" w:val="04A0"/>
      </w:tblPr>
      <w:tblGrid>
        <w:gridCol w:w="3216"/>
        <w:gridCol w:w="3216"/>
        <w:gridCol w:w="3216"/>
      </w:tblGrid>
      <w:tr>
        <w:tc>
          <w:tcPr>
            <w:tcW w:type="dxa" w:w="3216"/>
            <w:shd w:fill="1F6FEB"/>
          </w:tcPr>
          <w:p>
            <w:r>
              <w:rPr>
                <w:b/>
                <w:color w:val="FFFFFF"/>
              </w:rPr>
              <w:t>Resource</w:t>
            </w:r>
          </w:p>
        </w:tc>
        <w:tc>
          <w:tcPr>
            <w:tcW w:type="dxa" w:w="3216"/>
            <w:shd w:fill="1F6FEB"/>
          </w:tcPr>
          <w:p>
            <w:r>
              <w:rPr>
                <w:b/>
                <w:color w:val="FFFFFF"/>
              </w:rPr>
              <w:t>Purpose</w:t>
            </w:r>
          </w:p>
        </w:tc>
        <w:tc>
          <w:tcPr>
            <w:tcW w:type="dxa" w:w="3216"/>
            <w:shd w:fill="1F6FEB"/>
          </w:tcPr>
          <w:p>
            <w:r>
              <w:rPr>
                <w:b/>
                <w:color w:val="FFFFFF"/>
              </w:rPr>
              <w:t>Notes</w:t>
            </w:r>
          </w:p>
        </w:tc>
      </w:tr>
      <w:tr>
        <w:tc>
          <w:tcPr>
            <w:tcW w:type="dxa" w:w="3216"/>
            <w:vAlign w:val="center"/>
          </w:tcPr>
          <w:p>
            <w:r>
              <w:t>Training subscription or sandbox</w:t>
            </w:r>
          </w:p>
        </w:tc>
        <w:tc>
          <w:tcPr>
            <w:tcW w:type="dxa" w:w="3216"/>
            <w:vAlign w:val="center"/>
          </w:tcPr>
          <w:p>
            <w:r>
              <w:t>Create and manage lab resources</w:t>
            </w:r>
          </w:p>
        </w:tc>
        <w:tc>
          <w:tcPr>
            <w:tcW w:type="dxa" w:w="3216"/>
            <w:vAlign w:val="center"/>
          </w:tcPr>
          <w:p>
            <w:r>
              <w:t>Use a subscription with permissions and required licensing.</w:t>
            </w:r>
          </w:p>
        </w:tc>
      </w:tr>
      <w:tr>
        <w:tc>
          <w:tcPr>
            <w:tcW w:type="dxa" w:w="3216"/>
            <w:vAlign w:val="center"/>
          </w:tcPr>
          <w:p>
            <w:r>
              <w:t>Azure Portal</w:t>
            </w:r>
          </w:p>
        </w:tc>
        <w:tc>
          <w:tcPr>
            <w:tcW w:type="dxa" w:w="3216"/>
            <w:vAlign w:val="center"/>
          </w:tcPr>
          <w:p>
            <w:r>
              <w:t>Portal-based labs</w:t>
            </w:r>
          </w:p>
        </w:tc>
        <w:tc>
          <w:tcPr>
            <w:tcW w:type="dxa" w:w="3216"/>
            <w:vAlign w:val="center"/>
          </w:tcPr>
          <w:p>
            <w:r>
              <w:t>https://portal.azure.com</w:t>
            </w:r>
          </w:p>
        </w:tc>
      </w:tr>
      <w:tr>
        <w:tc>
          <w:tcPr>
            <w:tcW w:type="dxa" w:w="3216"/>
            <w:vAlign w:val="center"/>
          </w:tcPr>
          <w:p>
            <w:r>
              <w:t>Microsoft Entra admin center</w:t>
            </w:r>
          </w:p>
        </w:tc>
        <w:tc>
          <w:tcPr>
            <w:tcW w:type="dxa" w:w="3216"/>
            <w:vAlign w:val="center"/>
          </w:tcPr>
          <w:p>
            <w:r>
              <w:t>Identity and Conditional Access labs</w:t>
            </w:r>
          </w:p>
        </w:tc>
        <w:tc>
          <w:tcPr>
            <w:tcW w:type="dxa" w:w="3216"/>
            <w:vAlign w:val="center"/>
          </w:tcPr>
          <w:p>
            <w:r>
              <w:t>https://entra.microsoft.com</w:t>
            </w:r>
          </w:p>
        </w:tc>
      </w:tr>
      <w:tr>
        <w:tc>
          <w:tcPr>
            <w:tcW w:type="dxa" w:w="3216"/>
            <w:vAlign w:val="center"/>
          </w:tcPr>
          <w:p>
            <w:r>
              <w:t>Defender for Cloud</w:t>
            </w:r>
          </w:p>
        </w:tc>
        <w:tc>
          <w:tcPr>
            <w:tcW w:type="dxa" w:w="3216"/>
            <w:vAlign w:val="center"/>
          </w:tcPr>
          <w:p>
            <w:r>
              <w:t>Posture and secure score labs</w:t>
            </w:r>
          </w:p>
        </w:tc>
        <w:tc>
          <w:tcPr>
            <w:tcW w:type="dxa" w:w="3216"/>
            <w:vAlign w:val="center"/>
          </w:tcPr>
          <w:p>
            <w:r>
              <w:t>Use Azure Portal or Defender portal as instructed.</w:t>
            </w:r>
          </w:p>
        </w:tc>
      </w:tr>
      <w:tr>
        <w:tc>
          <w:tcPr>
            <w:tcW w:type="dxa" w:w="3216"/>
            <w:vAlign w:val="center"/>
          </w:tcPr>
          <w:p>
            <w:r>
              <w:t>Microsoft Sentinel</w:t>
            </w:r>
          </w:p>
        </w:tc>
        <w:tc>
          <w:tcPr>
            <w:tcW w:type="dxa" w:w="3216"/>
            <w:vAlign w:val="center"/>
          </w:tcPr>
          <w:p>
            <w:r>
              <w:t>SIEM, incidents and automation labs</w:t>
            </w:r>
          </w:p>
        </w:tc>
        <w:tc>
          <w:tcPr>
            <w:tcW w:type="dxa" w:w="3216"/>
            <w:vAlign w:val="center"/>
          </w:tcPr>
          <w:p>
            <w:r>
              <w:t>Use Log Analytics workspace and Sentinel permissions.</w:t>
            </w:r>
          </w:p>
        </w:tc>
      </w:tr>
      <w:tr>
        <w:tc>
          <w:tcPr>
            <w:tcW w:type="dxa" w:w="3216"/>
            <w:vAlign w:val="center"/>
          </w:tcPr>
          <w:p>
            <w:r>
              <w:t>LMS/TMS</w:t>
            </w:r>
          </w:p>
        </w:tc>
        <w:tc>
          <w:tcPr>
            <w:tcW w:type="dxa" w:w="3216"/>
            <w:vAlign w:val="center"/>
          </w:tcPr>
          <w:p>
            <w:r>
              <w:t>Courseware, TRAQOM, attendance and assessment</w:t>
            </w:r>
          </w:p>
        </w:tc>
        <w:tc>
          <w:tcPr>
            <w:tcW w:type="dxa" w:w="3216"/>
            <w:vAlign w:val="center"/>
          </w:tcPr>
          <w:p>
            <w:r>
              <w:t>https://lms-tms.tertiaryinfotech.com/</w:t>
            </w:r>
          </w:p>
        </w:tc>
      </w:tr>
    </w:tbl>
    <w:p/>
    <w:p>
      <w:pPr>
        <w:pStyle w:val="Heading1"/>
      </w:pPr>
      <w:r>
        <w:t>Assessment</w:t>
      </w:r>
    </w:p>
    <w:p>
      <w:pPr>
        <w:pStyle w:val="ListBullet"/>
      </w:pPr>
      <w:r>
        <w:rPr>
          <w:sz w:val="21"/>
        </w:rPr>
        <w:t>Learners complete all eight hands-on labs before the assessment block where possible.</w:t>
      </w:r>
    </w:p>
    <w:p>
      <w:pPr>
        <w:pStyle w:val="ListBullet"/>
      </w:pPr>
      <w:r>
        <w:rPr>
          <w:sz w:val="21"/>
        </w:rPr>
        <w:t>Assessment flow: TRAQOM attendance, assessment attendance, written assessment, LMS submission and assessment record signing.</w:t>
      </w:r>
    </w:p>
    <w:p>
      <w:pPr>
        <w:pStyle w:val="ListBullet"/>
      </w:pPr>
      <w:r>
        <w:rPr>
          <w:sz w:val="21"/>
        </w:rPr>
        <w:t>Learners should revise weak areas using the AZ-500 lab domain matrix and lab evidence notes.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6"/>
      </w:rPr>
      <w:t>Microsoft Azure Security Engineer Associate (AZ-500) | TGS-2023039344 | Tertiary Infotech Academy Pte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