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rPr>
          <w:sz w:val="20"/>
        </w:rPr>
        <w:t>UEN: 201200696W</w:t>
      </w:r>
    </w:p>
    <w:p/>
    <w:p/>
    <w:p>
      <w:pPr>
        <w:jc w:val="center"/>
      </w:pPr>
      <w:r>
        <w:rPr>
          <w:b/>
          <w:sz w:val="52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b/>
          <w:sz w:val="40"/>
        </w:rPr>
        <w:t>Build ASP.NET Web Apps with Vibe Coding</w:t>
      </w:r>
    </w:p>
    <w:p>
      <w:pPr>
        <w:jc w:val="center"/>
      </w:pPr>
      <w:r>
        <w:t>TGS Ref No: TGS-2023040477</w:t>
      </w:r>
    </w:p>
    <w:p>
      <w:pPr>
        <w:jc w:val="center"/>
      </w:pPr>
      <w:r>
        <w:t>Software Design · ICT-DES-3005-1.1</w:t>
      </w:r>
    </w:p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rPr>
          <w:b/>
        </w:rPr>
        <w:t>Version 6.1 · 12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1F6FEB"/>
          </w:tcPr>
          <w:p>
            <w:r>
              <w:rPr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473"/>
            <w:shd w:fill="1F6FEB"/>
          </w:tcPr>
          <w:p>
            <w:r>
              <w:rPr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473"/>
            <w:shd w:fill="1F6FEB"/>
          </w:tcPr>
          <w:p>
            <w:r>
              <w:rPr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473"/>
            <w:shd w:fill="1F6FEB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473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473"/>
          </w:tcPr>
          <w:p>
            <w:r>
              <w:rPr>
                <w:sz w:val="18"/>
              </w:rPr>
              <w:t>12 September 2026</w:t>
            </w:r>
          </w:p>
        </w:tc>
        <w:tc>
          <w:tcPr>
            <w:tcW w:type="dxa" w:w="2473"/>
          </w:tcPr>
          <w:p>
            <w:r>
              <w:rPr>
                <w:sz w:val="18"/>
              </w:rPr>
              <w:t>Two-day/16-hour delivery plan aligned to the v6.1 deck, ten cumulative LocalCRM Activities and the five official LO/K/A pairs.</w:t>
            </w:r>
          </w:p>
        </w:tc>
        <w:tc>
          <w:tcPr>
            <w:tcW w:type="dxa" w:w="2473"/>
          </w:tcPr>
          <w:p>
            <w:r>
              <w:rPr>
                <w:sz w:val="18"/>
              </w:rPr>
              <w:t>Dr.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/>
      <w:r>
        <w:t>Course Overview</w:t>
      </w:r>
    </w:p>
    <w:p>
      <w:pPr/>
      <w:r>
        <w:t>Learning Outcomes</w:t>
      </w:r>
    </w:p>
    <w:p>
      <w:pPr/>
      <w:r>
        <w:t>Daily Schedule</w:t>
      </w:r>
    </w:p>
    <w:p>
      <w:pPr/>
      <w:r>
        <w:t>Topic by Topic Breakdown</w:t>
      </w:r>
    </w:p>
    <w:p>
      <w:pPr/>
      <w:r>
        <w:t>Resources Required</w:t>
      </w:r>
    </w:p>
    <w:p>
      <w:pPr/>
      <w:r>
        <w:t>Assessment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Build ASP.NET Web Apps with Vibe Coding is a 2 days / 16 hours WSQ course aligned to Software Design (ICT-DES-3005-1.1). Learners build one cumulative local ASP.NET Core 10 CRM across ten self-contained Activity snapshots, progressing from syntax and component design through accessible Razor Pages, SQLite, controller APIs, interoperability, production readiness and design documentation.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Determine basic software components using ASP.NET framework to meet functional specifications.</w:t>
      </w:r>
    </w:p>
    <w:p>
      <w:pPr>
        <w:pStyle w:val="ListBullet"/>
      </w:pPr>
      <w:r>
        <w:t>LO2: Utilize ASP.NET framework to develop web apps in adherence to organizational practices.</w:t>
      </w:r>
    </w:p>
    <w:p>
      <w:pPr>
        <w:pStyle w:val="ListBullet"/>
      </w:pPr>
      <w:r>
        <w:t>LO3: Select essential ASP.NET controls and features to meet software design requirements.</w:t>
      </w:r>
    </w:p>
    <w:p>
      <w:pPr>
        <w:pStyle w:val="ListBullet"/>
      </w:pPr>
      <w:r>
        <w:t>LO4: Examine the interoperability and functionality of ASP.NET software components.</w:t>
      </w:r>
    </w:p>
    <w:p>
      <w:pPr>
        <w:pStyle w:val="ListBullet"/>
      </w:pPr>
      <w:r>
        <w:t>LO5: Generate ASP.NET design documentation aligned with user specifications.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· 09:00–18:00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</w:trPr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09:00–09:30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Administration, attendance, introductions and assessment briefing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Facilitation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09:30–10:45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75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Topic 1 — ASP.NET Core runtime and component design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Lecture, demonstration, questioning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18–58</w:t>
            </w:r>
          </w:p>
        </w:tc>
      </w:tr>
      <w:tr>
        <w:tc>
          <w:tcPr>
            <w:tcW w:type="dxa" w:w="1979"/>
            <w:shd w:fill="FFF4E5"/>
          </w:tcPr>
          <w:p>
            <w:r>
              <w:rPr>
                <w:sz w:val="16"/>
              </w:rPr>
              <w:t>10:45–10:55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Morning 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10:55–12:30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95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Activities 1–2 — requirements, scaffold and controlled vibe change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52–57</w:t>
            </w:r>
          </w:p>
        </w:tc>
      </w:tr>
      <w:tr>
        <w:tc>
          <w:tcPr>
            <w:tcW w:type="dxa" w:w="1979"/>
            <w:shd w:fill="FFF4E5"/>
          </w:tcPr>
          <w:p>
            <w:r>
              <w:rPr>
                <w:sz w:val="16"/>
              </w:rPr>
              <w:t>12:30–13:30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13:30–14:50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80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Topic 2 — accessible UI and organisational practice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Lecture, demonstration, questioning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59–99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14:50–15:40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Activities 3–4 — accessible shell and audit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93–98</w:t>
            </w:r>
          </w:p>
        </w:tc>
      </w:tr>
      <w:tr>
        <w:tc>
          <w:tcPr>
            <w:tcW w:type="dxa" w:w="1979"/>
            <w:shd w:fill="FFF4E5"/>
          </w:tcPr>
          <w:p>
            <w:r>
              <w:rPr>
                <w:sz w:val="16"/>
              </w:rPr>
              <w:t>15:40–15:50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Afternoon 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15:50–17:00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70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Topic 3 — Razor Pages controls, binding and persistence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Lecture and demonstration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100–140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17:00–17:50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Activity 5 — create and list with Razor Pages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134–136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17:50–18:00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Day 1 recap and PM attendance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Reflection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Day 2 · 09:00–18:00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</w:trPr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979"/>
            <w:shd w:fill="1F6FEB"/>
          </w:tcPr>
          <w:p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09:00–09:15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Day 1 recap and AM attendance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09:15–10:05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Topic 3 — validation, Tag Helpers and antiforgery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Lecture and demonstration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100–140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10:05–10:55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Activity 6 — validation and antiforgery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137–139</w:t>
            </w:r>
          </w:p>
        </w:tc>
      </w:tr>
      <w:tr>
        <w:tc>
          <w:tcPr>
            <w:tcW w:type="dxa" w:w="1979"/>
            <w:shd w:fill="FFF4E5"/>
          </w:tcPr>
          <w:p>
            <w:r>
              <w:rPr>
                <w:sz w:val="16"/>
              </w:rPr>
              <w:t>10:55–11:05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Morning 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11:05–12:10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65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Topic 4 — controller APIs and HTTP contracts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Lecture, demonstration, questioning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141–181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12:10–13:00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Activity 7 — controller API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175–177</w:t>
            </w:r>
          </w:p>
        </w:tc>
      </w:tr>
      <w:tr>
        <w:tc>
          <w:tcPr>
            <w:tcW w:type="dxa" w:w="1979"/>
            <w:shd w:fill="FFF4E5"/>
          </w:tcPr>
          <w:p>
            <w:r>
              <w:rPr>
                <w:sz w:val="16"/>
              </w:rPr>
              <w:t>13:00–14:00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14:00–14:55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55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Activity 8 — SQLite, OpenAPI and integration tests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Practical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178–180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14:55–15:35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40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Topic 5 — hosting, Azure and design evidence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Lecture and demonstration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182–222</w:t>
            </w:r>
          </w:p>
        </w:tc>
      </w:tr>
      <w:tr>
        <w:tc>
          <w:tcPr>
            <w:tcW w:type="dxa" w:w="1979"/>
            <w:shd w:fill="FFF4E5"/>
          </w:tcPr>
          <w:p>
            <w:r>
              <w:rPr>
                <w:sz w:val="16"/>
              </w:rPr>
              <w:t>15:35–15:45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Afternoon 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1979"/>
            <w:shd w:fill="FFF4E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FFFFFF"/>
          </w:tcPr>
          <w:p>
            <w:r>
              <w:rPr>
                <w:sz w:val="16"/>
              </w:rPr>
              <w:t>15:45–16:00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Activities 9–10 briefing and course synthesis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Demonstration and reflection</w:t>
            </w:r>
          </w:p>
        </w:tc>
        <w:tc>
          <w:tcPr>
            <w:tcW w:type="dxa" w:w="1979"/>
            <w:shd w:fill="FFFFFF"/>
          </w:tcPr>
          <w:p>
            <w:r>
              <w:rPr>
                <w:sz w:val="16"/>
              </w:rPr>
              <w:t>Slides 216–221</w:t>
            </w:r>
          </w:p>
        </w:tc>
      </w:tr>
      <w:tr>
        <w:tc>
          <w:tcPr>
            <w:tcW w:type="dxa" w:w="1979"/>
            <w:shd w:fill="E8F7EE"/>
          </w:tcPr>
          <w:p>
            <w:r>
              <w:rPr>
                <w:sz w:val="16"/>
              </w:rPr>
              <w:t>16:00–17:00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Written Assessment — Short-Answer Questions (open book)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Summative assessment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79"/>
            <w:shd w:fill="E8F7EE"/>
          </w:tcPr>
          <w:p>
            <w:r>
              <w:rPr>
                <w:sz w:val="16"/>
              </w:rPr>
              <w:t>17:00–18:00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Practical Performance Assessment (open book)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Summative assessment</w:t>
            </w:r>
          </w:p>
        </w:tc>
        <w:tc>
          <w:tcPr>
            <w:tcW w:type="dxa" w:w="1979"/>
            <w:shd w:fill="E8F7EE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1: Design Components and the ASP.NET Core Runtime · Slides 18–58</w:t>
      </w:r>
    </w:p>
    <w:p>
      <w:r>
        <w:t>Alignment: LO1 · K1 / A1. requirements → component boundaries → request pipeline → verified scaffold.</w:t>
      </w:r>
    </w:p>
    <w:p>
      <w:pPr>
        <w:pStyle w:val="ListBullet"/>
      </w:pPr>
      <w:r>
        <w:t>HTTP request and response contract</w:t>
      </w:r>
    </w:p>
    <w:p>
      <w:pPr>
        <w:pStyle w:val="ListBullet"/>
      </w:pPr>
      <w:r>
        <w:t>ASP.NET technology family boundary</w:t>
      </w:r>
    </w:p>
    <w:p>
      <w:pPr>
        <w:pStyle w:val="ListBullet"/>
      </w:pPr>
      <w:r>
        <w:t>SDK, runtime and target framework</w:t>
      </w:r>
    </w:p>
    <w:p>
      <w:pPr>
        <w:pStyle w:val="ListBullet"/>
      </w:pPr>
      <w:r>
        <w:t>Project template and file ownership</w:t>
      </w:r>
    </w:p>
    <w:p>
      <w:pPr>
        <w:pStyle w:val="ListBullet"/>
      </w:pPr>
      <w:r>
        <w:t>Composition root and dependency injection</w:t>
      </w:r>
    </w:p>
    <w:p>
      <w:pPr>
        <w:pStyle w:val="ListBullet"/>
      </w:pPr>
      <w:r>
        <w:t>Configuration provider precedence</w:t>
      </w:r>
    </w:p>
    <w:p>
      <w:pPr>
        <w:pStyle w:val="ListBullet"/>
      </w:pPr>
      <w:r>
        <w:t>Middleware pipeline ordering</w:t>
      </w:r>
    </w:p>
    <w:p>
      <w:pPr>
        <w:pStyle w:val="ListBullet"/>
      </w:pPr>
      <w:r>
        <w:t>Vibe coding control loop</w:t>
      </w:r>
    </w:p>
    <w:p>
      <w:pPr>
        <w:pStyle w:val="Heading3"/>
      </w:pPr>
      <w:r>
        <w:t>Activity 1: Translate Requirements into a Verified ASP.NET Core Scaffold · Slides 52–54</w:t>
      </w:r>
    </w:p>
    <w:p>
      <w:r>
        <w:t>Turn a LocalCRM customer-contact brief into component boundaries and a reproducible .NET 10 Razor Pages project. Evidence: requirements.md, component-map.md, pinned SDK file and a clean net10.0 Razor Pages scaffold.</w:t>
      </w:r>
    </w:p>
    <w:p>
      <w:pPr>
        <w:pStyle w:val="Heading3"/>
      </w:pPr>
      <w:r>
        <w:t>Activity 2: Run a Controlled Vibe-Coding Change · Slides 55–57</w:t>
      </w:r>
    </w:p>
    <w:p>
      <w:r>
        <w:t>Add a health endpoint through a specify–generate–inspect–verify loop without accepting unrelated AI edits. Evidence: a reviewed /health endpoint, build evidence and a decision log.</w:t>
      </w:r>
    </w:p>
    <w:p>
      <w:pPr>
        <w:pStyle w:val="Heading2"/>
      </w:pPr>
      <w:r>
        <w:t>Topic 2: Accessible UI and Organisational Vibe-Coding Practice · Slides 59–99</w:t>
      </w:r>
    </w:p>
    <w:p>
      <w:r>
        <w:t>Alignment: LO2 · K2 / A2. semantic structure → accessible interaction → reviewable AI-assisted change.</w:t>
      </w:r>
    </w:p>
    <w:p>
      <w:pPr>
        <w:pStyle w:val="ListBullet"/>
      </w:pPr>
      <w:r>
        <w:t>Semantic document structure</w:t>
      </w:r>
    </w:p>
    <w:p>
      <w:pPr>
        <w:pStyle w:val="ListBullet"/>
      </w:pPr>
      <w:r>
        <w:t>Accessible name computation</w:t>
      </w:r>
    </w:p>
    <w:p>
      <w:pPr>
        <w:pStyle w:val="ListBullet"/>
      </w:pPr>
      <w:r>
        <w:t>Keyboard and focus contract</w:t>
      </w:r>
    </w:p>
    <w:p>
      <w:pPr>
        <w:pStyle w:val="ListBullet"/>
      </w:pPr>
      <w:r>
        <w:t>Contrast and non-colour cues</w:t>
      </w:r>
    </w:p>
    <w:p>
      <w:pPr>
        <w:pStyle w:val="ListBullet"/>
      </w:pPr>
      <w:r>
        <w:t>Validation error experience</w:t>
      </w:r>
    </w:p>
    <w:p>
      <w:pPr>
        <w:pStyle w:val="ListBullet"/>
      </w:pPr>
      <w:r>
        <w:t>Lighthouse and axe evidence workflow</w:t>
      </w:r>
    </w:p>
    <w:p>
      <w:pPr>
        <w:pStyle w:val="ListBullet"/>
      </w:pPr>
      <w:r>
        <w:t>Prompt constraints for accessible output</w:t>
      </w:r>
    </w:p>
    <w:p>
      <w:pPr>
        <w:pStyle w:val="ListBullet"/>
      </w:pPr>
      <w:r>
        <w:t>Git diff and review guardrails</w:t>
      </w:r>
    </w:p>
    <w:p>
      <w:pPr>
        <w:pStyle w:val="Heading3"/>
      </w:pPr>
      <w:r>
        <w:t>Activity 3: Build an Accessible Razor Pages Shell · Slides 93–95</w:t>
      </w:r>
    </w:p>
    <w:p>
      <w:r>
        <w:t>Create semantic navigation, visible keyboard focus and a labelled customer-contact entry point. Evidence: an accessible layout and Contacts index page with a reproducible keyboard checklist.</w:t>
      </w:r>
    </w:p>
    <w:p>
      <w:pPr>
        <w:pStyle w:val="Heading3"/>
      </w:pPr>
      <w:r>
        <w:t>Activity 4: Audit Accessibility with axe and Manual Evidence · Slides 96–98</w:t>
      </w:r>
    </w:p>
    <w:p>
      <w:r>
        <w:t>Create a repeatable automated-plus-manual accessibility gate for the running Razor Pages UI. Evidence: axe JSON evidence, a manual keyboard checklist and a reviewed remediation diff.</w:t>
      </w:r>
    </w:p>
    <w:p>
      <w:pPr>
        <w:pStyle w:val="Heading2"/>
      </w:pPr>
      <w:r>
        <w:t>Topic 3: Razor Pages Controls, Binding and Persistence · Slides 100–140</w:t>
      </w:r>
    </w:p>
    <w:p>
      <w:r>
        <w:t>Alignment: LO3 · K3 / A3. page-focused UI → binding and validation → antiforgery → durable state.</w:t>
      </w:r>
    </w:p>
    <w:p>
      <w:pPr>
        <w:pStyle w:val="ListBullet"/>
      </w:pPr>
      <w:r>
        <w:t>Razor Page execution model</w:t>
      </w:r>
    </w:p>
    <w:p>
      <w:pPr>
        <w:pStyle w:val="ListBullet"/>
      </w:pPr>
      <w:r>
        <w:t>Razor Pages routing conventions</w:t>
      </w:r>
    </w:p>
    <w:p>
      <w:pPr>
        <w:pStyle w:val="ListBullet"/>
      </w:pPr>
      <w:r>
        <w:t>Service boundary behind the PageModel</w:t>
      </w:r>
    </w:p>
    <w:p>
      <w:pPr>
        <w:pStyle w:val="ListBullet"/>
      </w:pPr>
      <w:r>
        <w:t>Model binding input sources</w:t>
      </w:r>
    </w:p>
    <w:p>
      <w:pPr>
        <w:pStyle w:val="ListBullet"/>
      </w:pPr>
      <w:r>
        <w:t>DataAnnotations and server validation</w:t>
      </w:r>
    </w:p>
    <w:p>
      <w:pPr>
        <w:pStyle w:val="ListBullet"/>
      </w:pPr>
      <w:r>
        <w:t>Tag Helpers generate consistent controls</w:t>
      </w:r>
    </w:p>
    <w:p>
      <w:pPr>
        <w:pStyle w:val="ListBullet"/>
      </w:pPr>
      <w:r>
        <w:t>Antiforgery request validation</w:t>
      </w:r>
    </w:p>
    <w:p>
      <w:pPr>
        <w:pStyle w:val="ListBullet"/>
      </w:pPr>
      <w:r>
        <w:t>EF Core SQLite persistence</w:t>
      </w:r>
    </w:p>
    <w:p>
      <w:pPr>
        <w:pStyle w:val="Heading3"/>
      </w:pPr>
      <w:r>
        <w:t>Activity 5: Create and List CRM Contacts with Razor Pages · Slides 134–136</w:t>
      </w:r>
    </w:p>
    <w:p>
      <w:r>
        <w:t>Implement page-focused create/list handlers through an injectable contact store. Evidence: input model, IContactStore boundary, create/list PageModels and successful PRG navigation.</w:t>
      </w:r>
    </w:p>
    <w:p>
      <w:pPr>
        <w:pStyle w:val="Heading3"/>
      </w:pPr>
      <w:r>
        <w:t>Activity 6: Enforce Validation and Antiforgery Controls · Slides 137–139</w:t>
      </w:r>
    </w:p>
    <w:p>
      <w:r>
        <w:t>Reject invalid or forged commands while returning accessible recovery guidance. Evidence: bounded DataAnnotations, field/summary errors, antiforgery proof and negative-path tests.</w:t>
      </w:r>
    </w:p>
    <w:p>
      <w:pPr>
        <w:pStyle w:val="Heading2"/>
      </w:pPr>
      <w:r>
        <w:t>Topic 4: Controller APIs and Component Interoperability · Slides 141–181</w:t>
      </w:r>
    </w:p>
    <w:p>
      <w:r>
        <w:t>Alignment: LO4 · K4 / A4. resource contract → controller boundary → persistence → observable HTTP evidence.</w:t>
      </w:r>
    </w:p>
    <w:p>
      <w:pPr>
        <w:pStyle w:val="ListBullet"/>
      </w:pPr>
      <w:r>
        <w:t>Resource-oriented HTTP semantics</w:t>
      </w:r>
    </w:p>
    <w:p>
      <w:pPr>
        <w:pStyle w:val="ListBullet"/>
      </w:pPr>
      <w:r>
        <w:t>Controller routing and action selection</w:t>
      </w:r>
    </w:p>
    <w:p>
      <w:pPr>
        <w:pStyle w:val="ListBullet"/>
      </w:pPr>
      <w:r>
        <w:t>DTO and domain boundary</w:t>
      </w:r>
    </w:p>
    <w:p>
      <w:pPr>
        <w:pStyle w:val="ListBullet"/>
      </w:pPr>
      <w:r>
        <w:t>API model binding and automatic 400</w:t>
      </w:r>
    </w:p>
    <w:p>
      <w:pPr>
        <w:pStyle w:val="ListBullet"/>
      </w:pPr>
      <w:r>
        <w:t>CRUD status and concurrency contract</w:t>
      </w:r>
    </w:p>
    <w:p>
      <w:pPr>
        <w:pStyle w:val="ListBullet"/>
      </w:pPr>
      <w:r>
        <w:t>Async EF Core API path</w:t>
      </w:r>
    </w:p>
    <w:p>
      <w:pPr>
        <w:pStyle w:val="ListBullet"/>
      </w:pPr>
      <w:r>
        <w:t>OpenAPI as interoperability contract</w:t>
      </w:r>
    </w:p>
    <w:p>
      <w:pPr>
        <w:pStyle w:val="ListBullet"/>
      </w:pPr>
      <w:r>
        <w:t>Integration tests and ProblemDetails</w:t>
      </w:r>
    </w:p>
    <w:p>
      <w:pPr>
        <w:pStyle w:val="Heading3"/>
      </w:pPr>
      <w:r>
        <w:t>Activity 7: Expose a Controller-Based CRUD API · Slides 175–177</w:t>
      </w:r>
    </w:p>
    <w:p>
      <w:r>
        <w:t>Add a JSON controller surface that reuses the application service without exposing persistence entities. Evidence: controller routes, DTOs, 201/200/400/404 behaviour and curl evidence.</w:t>
      </w:r>
    </w:p>
    <w:p>
      <w:pPr>
        <w:pStyle w:val="Heading3"/>
      </w:pPr>
      <w:r>
        <w:t>Activity 8: Prove Persistence and Interoperability · Slides 178–180</w:t>
      </w:r>
    </w:p>
    <w:p>
      <w:r>
        <w:t>Replace volatile state with EF Core SQLite, publish an OpenAPI contract and verify components through integration tests. Evidence: SQLite migration, persistent CRUD path, openapi.json and HTTP integration tests.</w:t>
      </w:r>
    </w:p>
    <w:p>
      <w:pPr>
        <w:pStyle w:val="Heading2"/>
      </w:pPr>
      <w:r>
        <w:t>Topic 5: Production Hosting, Azure and Design Evidence · Slides 182–222</w:t>
      </w:r>
    </w:p>
    <w:p>
      <w:r>
        <w:t>Alignment: LO5 · K5 / A5. deployable artifact → observable service → safe release → traceable design record.</w:t>
      </w:r>
    </w:p>
    <w:p>
      <w:pPr>
        <w:pStyle w:val="ListBullet"/>
      </w:pPr>
      <w:r>
        <w:t>Environment-specific configuration and secrets</w:t>
      </w:r>
    </w:p>
    <w:p>
      <w:pPr>
        <w:pStyle w:val="ListBullet"/>
      </w:pPr>
      <w:r>
        <w:t>Structured logging and health checks</w:t>
      </w:r>
    </w:p>
    <w:p>
      <w:pPr>
        <w:pStyle w:val="ListBullet"/>
      </w:pPr>
      <w:r>
        <w:t>Publish output and hosting boundary</w:t>
      </w:r>
    </w:p>
    <w:p>
      <w:pPr>
        <w:pStyle w:val="ListBullet"/>
      </w:pPr>
      <w:r>
        <w:t>Azure App Service component model</w:t>
      </w:r>
    </w:p>
    <w:p>
      <w:pPr>
        <w:pStyle w:val="ListBullet"/>
      </w:pPr>
      <w:r>
        <w:t>Deployment slots and safe promotion</w:t>
      </w:r>
    </w:p>
    <w:p>
      <w:pPr>
        <w:pStyle w:val="ListBullet"/>
      </w:pPr>
      <w:r>
        <w:t>Managed identity and database access</w:t>
      </w:r>
    </w:p>
    <w:p>
      <w:pPr>
        <w:pStyle w:val="ListBullet"/>
      </w:pPr>
      <w:r>
        <w:t>CI/CD gates and smoke evidence</w:t>
      </w:r>
    </w:p>
    <w:p>
      <w:pPr>
        <w:pStyle w:val="ListBullet"/>
      </w:pPr>
      <w:r>
        <w:t>ADR, C4 and requirements traceability</w:t>
      </w:r>
    </w:p>
    <w:p>
      <w:pPr>
        <w:pStyle w:val="Heading3"/>
      </w:pPr>
      <w:r>
        <w:t>Activity 9: Prepare an Azure-Ready Release · Slides 216–218</w:t>
      </w:r>
    </w:p>
    <w:p>
      <w:r>
        <w:t>Create a production-neutral publish artifact with validated configuration, health endpoints and smoke evidence. Evidence: Release publish directory, health checks, deployment configuration matrix and smoke-test script.</w:t>
      </w:r>
    </w:p>
    <w:p>
      <w:pPr>
        <w:pStyle w:val="Heading3"/>
      </w:pPr>
      <w:r>
        <w:t>Activity 10: Produce the Traceable Design and Release Record · Slides 219–221</w:t>
      </w:r>
    </w:p>
    <w:p>
      <w:r>
        <w:t>Map user specifications to components, interface contracts, decisions and verification evidence. Evidence: C4-style diagrams, ADR, requirements traceability matrix, API contract hash and release checklist.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Computer with .NET 10 SDK, Git, browser and code editor</w:t>
      </w:r>
    </w:p>
    <w:p>
      <w:pPr>
        <w:pStyle w:val="ListBullet"/>
      </w:pPr>
      <w:r>
        <w:t>Optional Node.js for axe CLI</w:t>
      </w:r>
    </w:p>
    <w:p>
      <w:pPr>
        <w:pStyle w:val="ListBullet"/>
      </w:pPr>
      <w:r>
        <w:t>Course activities/ tree with ten self-contained LocalCRM snapshots</w:t>
      </w:r>
    </w:p>
    <w:p>
      <w:pPr>
        <w:pStyle w:val="ListBullet"/>
      </w:pPr>
      <w:r>
        <w:t>Fictional contacts.json and contacts.csv in every Activity</w:t>
      </w:r>
    </w:p>
    <w:p>
      <w:pPr>
        <w:pStyle w:val="ListBullet"/>
      </w:pPr>
      <w:r>
        <w:t>LMS access for attendance and assessment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— Short-Answer Questions, 16:00–17:00 on Day 2, open book, K1–K5.</w:t>
      </w:r>
    </w:p>
    <w:p>
      <w:pPr>
        <w:pStyle w:val="ListBullet"/>
      </w:pPr>
      <w:r>
        <w:t>Practical Performance — 17:00–18:00 on Day 2, open book, A1–A5.</w:t>
      </w:r>
    </w:p>
    <w:p>
      <w:pPr>
        <w:pStyle w:val="ListBullet"/>
      </w:pPr>
      <w:r>
        <w:t>Minimum 75% SSG digital attendance and Competent outcome are funding conditions; eligibility and terms apply.</w:t>
      </w:r>
    </w:p>
    <w:p>
      <w:pPr>
        <w:pStyle w:val="ListBullet"/>
      </w:pPr>
      <w:r>
        <w:t>Courseware, attendance and submissions: https://lms-tms.tertiaryinfotech.com/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TGS-2023040477  ·  © 2026 Tertiary Infotech Academy Pte Ltd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1B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