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Microsoft Dynamics 365 Fundamentals (CRM) (MB-910)</w:t>
      </w:r>
    </w:p>
    <w:p>
      <w:pPr>
        <w:spacing w:before="80" w:after="280"/>
        <w:jc w:val="center"/>
      </w:pPr>
      <w:r>
        <w:rPr>
          <w:b w:val="0"/>
          <w:color w:val="111827"/>
          <w:sz w:val="24"/>
        </w:rPr>
        <w:t>TGS Ref No: TGS-2023040481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5.0</w:t>
            </w:r>
          </w:p>
        </w:tc>
        <w:tc>
          <w:tcPr>
            <w:tcW w:type="dxa" w:w="2160"/>
          </w:tcPr>
          <w:p>
            <w:r/>
            <w:r>
              <w:rPr>
                <w:sz w:val="19"/>
              </w:rPr>
              <w:t>1 November 2025</w:t>
            </w:r>
          </w:p>
        </w:tc>
        <w:tc>
          <w:tcPr>
            <w:tcW w:type="dxa" w:w="2160"/>
          </w:tcPr>
          <w:p>
            <w:r/>
            <w:r>
              <w:rPr>
                <w:sz w:val="19"/>
              </w:rPr>
              <w:t>Previous release — 10-topic lesson plan for the MB-910 course.</w:t>
            </w:r>
          </w:p>
        </w:tc>
        <w:tc>
          <w:tcPr>
            <w:tcW w:type="dxa" w:w="2160"/>
          </w:tcPr>
          <w:p>
            <w:r/>
            <w:r>
              <w:rPr>
                <w:sz w:val="19"/>
              </w:rPr>
              <w:t>Dr. Alfred Ang</w:t>
            </w:r>
          </w:p>
        </w:tc>
      </w:tr>
      <w:tr>
        <w:tc>
          <w:tcPr>
            <w:tcW w:type="dxa" w:w="2160"/>
          </w:tcPr>
          <w:p>
            <w:r/>
            <w:r>
              <w:rPr>
                <w:sz w:val="19"/>
              </w:rPr>
              <w:t>6</w:t>
            </w:r>
          </w:p>
        </w:tc>
        <w:tc>
          <w:tcPr>
            <w:tcW w:type="dxa" w:w="2160"/>
          </w:tcPr>
          <w:p>
            <w:r/>
            <w:r>
              <w:rPr>
                <w:sz w:val="19"/>
              </w:rPr>
              <w:t>1 September 2026</w:t>
            </w:r>
          </w:p>
        </w:tc>
        <w:tc>
          <w:tcPr>
            <w:tcW w:type="dxa" w:w="2160"/>
          </w:tcPr>
          <w:p>
            <w:r/>
            <w:r>
              <w:rPr>
                <w:sz w:val="19"/>
              </w:rPr>
              <w:t>Major revision. Rebuilt on the single-source courseware pipeline so the lesson plan, slide deck, learner guide and labs stay aligned. Content expanded from the Microsoft MB-910T00A lab set and the current Microsoft Learn MB-910 skills outline. Ten hands-on labs added with mock data; every session now cites the current deck's slide numbers.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Training Resources</w:t>
        <w:tab/>
        <w:t>5</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Core CE capabilities, shared activities and the Customer Insights apps</w:t>
        <w:tab/>
        <w:t>5</w:t>
      </w:r>
    </w:p>
    <w:p>
      <w:pPr>
        <w:tabs>
          <w:tab w:pos="9072" w:val="right" w:leader="dot"/>
        </w:tabs>
        <w:spacing w:after="60"/>
        <w:ind w:left="432"/>
      </w:pPr>
      <w:r>
        <w:rPr>
          <w:rFonts w:ascii="Arial" w:hAnsi="Arial"/>
          <w:b w:val="0"/>
          <w:color w:val="333333"/>
          <w:sz w:val="21"/>
        </w:rPr>
        <w:t>Day 2 — Sales, Customer Service and Field Service — and the final assessment</w:t>
        <w:tab/>
        <w:t>6</w:t>
      </w:r>
    </w:p>
    <w:p>
      <w:pPr>
        <w:tabs>
          <w:tab w:pos="9072" w:val="right" w:leader="dot"/>
        </w:tabs>
        <w:spacing w:after="60"/>
      </w:pPr>
      <w:r>
        <w:rPr>
          <w:rFonts w:ascii="Arial" w:hAnsi="Arial"/>
          <w:b/>
          <w:color w:val="333333"/>
          <w:sz w:val="22"/>
        </w:rPr>
        <w:t>Topic and Lab Reference</w:t>
        <w:tab/>
        <w:t>7</w:t>
      </w:r>
    </w:p>
    <w:p>
      <w:pPr>
        <w:tabs>
          <w:tab w:pos="9072" w:val="right" w:leader="dot"/>
        </w:tabs>
        <w:spacing w:after="60"/>
      </w:pPr>
      <w:r>
        <w:rPr>
          <w:rFonts w:ascii="Arial" w:hAnsi="Arial"/>
          <w:b/>
          <w:color w:val="333333"/>
          <w:sz w:val="22"/>
        </w:rPr>
        <w:t>Teaching and Learning Methods</w:t>
        <w:tab/>
        <w:t>8</w:t>
      </w:r>
    </w:p>
    <w:p>
      <w:pPr>
        <w:spacing w:after="0"/>
      </w:pPr>
      <w:r>
        <w:rPr>
          <w:sz w:val="2"/>
        </w:rPr>
        <w:fldChar w:fldCharType="begin"/>
        <w:instrText xml:space="preserve"> TOC \o "1-3" \h \z \u </w:instrText>
        <w:fldChar w:fldCharType="separate"/>
        <w:t/>
        <w:fldChar w:fldCharType="end"/>
      </w:r>
    </w:p>
    <w:p>
      <w:r>
        <w:br w:type="page"/>
      </w:r>
    </w:p>
    <w:p>
      <w:pPr>
        <w:pStyle w:val="Heading1"/>
      </w:pPr>
      <w:r>
        <w:t>Course Information</w:t>
      </w:r>
    </w:p>
    <w:tbl>
      <w:tblPr>
        <w:tblStyle w:val="TableGrid"/>
        <w:tblW w:type="auto" w:w="0"/>
        <w:tblLook w:firstColumn="1" w:firstRow="1" w:lastColumn="0" w:lastRow="0" w:noHBand="0" w:noVBand="1" w:val="04A0"/>
        <w:tblLayout w:type="fixed"/>
      </w:tblPr>
      <w:tblGrid>
        <w:gridCol w:w="2736"/>
        <w:gridCol w:w="7056"/>
      </w:tblGrid>
      <w:tr>
        <w:tc>
          <w:tcPr>
            <w:tcW w:type="dxa" w:w="2736"/>
            <w:shd w:val="clear" w:color="auto" w:fill="E8F0FE"/>
          </w:tcPr>
          <w:p>
            <w:r/>
            <w:r>
              <w:rPr>
                <w:b/>
                <w:sz w:val="20"/>
              </w:rPr>
              <w:t>Course Title</w:t>
            </w:r>
          </w:p>
        </w:tc>
        <w:tc>
          <w:tcPr>
            <w:tcW w:type="dxa" w:w="7056"/>
          </w:tcPr>
          <w:p>
            <w:r/>
            <w:r>
              <w:rPr>
                <w:sz w:val="20"/>
              </w:rPr>
              <w:t>Microsoft Dynamics 365 Fundamentals (CRM) (MB-910)</w:t>
            </w:r>
          </w:p>
        </w:tc>
      </w:tr>
      <w:tr>
        <w:tc>
          <w:tcPr>
            <w:tcW w:type="dxa" w:w="2736"/>
            <w:shd w:val="clear" w:color="auto" w:fill="E8F0FE"/>
          </w:tcPr>
          <w:p>
            <w:r/>
            <w:r>
              <w:rPr>
                <w:b/>
                <w:sz w:val="20"/>
              </w:rPr>
              <w:t>WSQ Course Reference</w:t>
            </w:r>
          </w:p>
        </w:tc>
        <w:tc>
          <w:tcPr>
            <w:tcW w:type="dxa" w:w="7056"/>
          </w:tcPr>
          <w:p>
            <w:r/>
            <w:r>
              <w:rPr>
                <w:sz w:val="20"/>
              </w:rPr>
              <w:t>TGS-2023040481</w:t>
            </w:r>
          </w:p>
        </w:tc>
      </w:tr>
      <w:tr>
        <w:tc>
          <w:tcPr>
            <w:tcW w:type="dxa" w:w="2736"/>
            <w:shd w:val="clear" w:color="auto" w:fill="E8F0FE"/>
          </w:tcPr>
          <w:p>
            <w:r/>
            <w:r>
              <w:rPr>
                <w:b/>
                <w:sz w:val="20"/>
              </w:rPr>
              <w:t>Training Provider</w:t>
            </w:r>
          </w:p>
        </w:tc>
        <w:tc>
          <w:tcPr>
            <w:tcW w:type="dxa" w:w="7056"/>
          </w:tcPr>
          <w:p>
            <w:r/>
            <w:r>
              <w:rPr>
                <w:sz w:val="20"/>
              </w:rPr>
              <w:t>Tertiary Infotech Academy Pte Ltd  (UEN 201200696W)</w:t>
            </w:r>
          </w:p>
        </w:tc>
      </w:tr>
      <w:tr>
        <w:tc>
          <w:tcPr>
            <w:tcW w:type="dxa" w:w="2736"/>
            <w:shd w:val="clear" w:color="auto" w:fill="E8F0FE"/>
          </w:tcPr>
          <w:p>
            <w:r/>
            <w:r>
              <w:rPr>
                <w:b/>
                <w:sz w:val="20"/>
              </w:rPr>
              <w:t>Skills Framework TSC</w:t>
            </w:r>
          </w:p>
        </w:tc>
        <w:tc>
          <w:tcPr>
            <w:tcW w:type="dxa" w:w="7056"/>
          </w:tcPr>
          <w:p>
            <w:r/>
            <w:r>
              <w:rPr>
                <w:sz w:val="20"/>
              </w:rPr>
              <w:t>Customer Relationship Management  ·  RET-RAN-4001-1.1</w:t>
            </w:r>
          </w:p>
        </w:tc>
      </w:tr>
      <w:tr>
        <w:tc>
          <w:tcPr>
            <w:tcW w:type="dxa" w:w="2736"/>
            <w:shd w:val="clear" w:color="auto" w:fill="E8F0FE"/>
          </w:tcPr>
          <w:p>
            <w:r/>
            <w:r>
              <w:rPr>
                <w:b/>
                <w:sz w:val="20"/>
              </w:rPr>
              <w:t>Duration</w:t>
            </w:r>
          </w:p>
        </w:tc>
        <w:tc>
          <w:tcPr>
            <w:tcW w:type="dxa" w:w="7056"/>
          </w:tcPr>
          <w:p>
            <w:r/>
            <w:r>
              <w:rPr>
                <w:sz w:val="20"/>
              </w:rPr>
              <w:t>2 days · 8 training hours per day (16 hours total, including 2 hours of assessment)</w:t>
            </w:r>
          </w:p>
        </w:tc>
      </w:tr>
      <w:tr>
        <w:tc>
          <w:tcPr>
            <w:tcW w:type="dxa" w:w="2736"/>
            <w:shd w:val="clear" w:color="auto" w:fill="E8F0FE"/>
          </w:tcPr>
          <w:p>
            <w:r/>
            <w:r>
              <w:rPr>
                <w:b/>
                <w:sz w:val="20"/>
              </w:rPr>
              <w:t>Daily Timing</w:t>
            </w:r>
          </w:p>
        </w:tc>
        <w:tc>
          <w:tcPr>
            <w:tcW w:type="dxa" w:w="7056"/>
          </w:tcPr>
          <w:p>
            <w:r/>
            <w:r>
              <w:rPr>
                <w:sz w:val="20"/>
              </w:rPr>
              <w:t>9:30 am – 6:30 pm (1-hour lunch break; tea breaks counted within training time)</w:t>
            </w:r>
          </w:p>
        </w:tc>
      </w:tr>
      <w:tr>
        <w:tc>
          <w:tcPr>
            <w:tcW w:type="dxa" w:w="2736"/>
            <w:shd w:val="clear" w:color="auto" w:fill="E8F0FE"/>
          </w:tcPr>
          <w:p>
            <w:r/>
            <w:r>
              <w:rPr>
                <w:b/>
                <w:sz w:val="20"/>
              </w:rPr>
              <w:t>Mode</w:t>
            </w:r>
          </w:p>
        </w:tc>
        <w:tc>
          <w:tcPr>
            <w:tcW w:type="dxa" w:w="7056"/>
          </w:tcPr>
          <w:p>
            <w:r/>
            <w:r>
              <w:rPr>
                <w:sz w:val="20"/>
              </w:rPr>
              <w:t>Instructor-led classroom training with hands-on labs in a Microsoft Dynamics 365 environment</w:t>
            </w:r>
          </w:p>
        </w:tc>
      </w:tr>
      <w:tr>
        <w:tc>
          <w:tcPr>
            <w:tcW w:type="dxa" w:w="2736"/>
            <w:shd w:val="clear" w:color="auto" w:fill="E8F0FE"/>
          </w:tcPr>
          <w:p>
            <w:r/>
            <w:r>
              <w:rPr>
                <w:b/>
                <w:sz w:val="20"/>
              </w:rPr>
              <w:t>Target Audience</w:t>
            </w:r>
          </w:p>
        </w:tc>
        <w:tc>
          <w:tcPr>
            <w:tcW w:type="dxa" w:w="7056"/>
          </w:tcPr>
          <w:p>
            <w:r/>
            <w:r>
              <w:rPr>
                <w:sz w:val="20"/>
              </w:rPr>
              <w:t>CRM analysts, sales and service operations staff, marketing coordinators, business analysts and anyone preparing for Microsoft exam MB-910</w:t>
            </w:r>
          </w:p>
        </w:tc>
      </w:tr>
      <w:tr>
        <w:tc>
          <w:tcPr>
            <w:tcW w:type="dxa" w:w="2736"/>
            <w:shd w:val="clear" w:color="auto" w:fill="E8F0FE"/>
          </w:tcPr>
          <w:p>
            <w:r/>
            <w:r>
              <w:rPr>
                <w:b/>
                <w:sz w:val="20"/>
              </w:rPr>
              <w:t>Prerequisites</w:t>
            </w:r>
          </w:p>
        </w:tc>
        <w:tc>
          <w:tcPr>
            <w:tcW w:type="dxa" w:w="7056"/>
          </w:tcPr>
          <w:p>
            <w:r/>
            <w:r>
              <w:rPr>
                <w:sz w:val="20"/>
              </w:rPr>
              <w:t>Computer literacy at ICAS Level 2 or above; minimum 3 GCE 'O' Level passes including English, or WPL Level 5; minimum 1 year of work experience</w:t>
            </w:r>
          </w:p>
        </w:tc>
      </w:tr>
      <w:tr>
        <w:tc>
          <w:tcPr>
            <w:tcW w:type="dxa" w:w="2736"/>
            <w:shd w:val="clear" w:color="auto" w:fill="E8F0FE"/>
          </w:tcPr>
          <w:p>
            <w:r/>
            <w:r>
              <w:rPr>
                <w:b/>
                <w:sz w:val="20"/>
              </w:rPr>
              <w:t>Trainer</w:t>
            </w:r>
          </w:p>
        </w:tc>
        <w:tc>
          <w:tcPr>
            <w:tcW w:type="dxa" w:w="7056"/>
          </w:tcPr>
          <w:p>
            <w:r/>
            <w:r>
              <w:rPr>
                <w:sz w:val="20"/>
              </w:rPr>
              <w:t>Dr. Alfred Ang</w:t>
            </w:r>
          </w:p>
        </w:tc>
      </w:tr>
    </w:tbl>
    <w:p>
      <w:pPr>
        <w:pStyle w:val="Heading1"/>
      </w:pPr>
      <w:r>
        <w:t>Learning Outcomes</w:t>
      </w:r>
    </w:p>
    <w:p>
      <w:r>
        <w:t>On completion of this course, learners will be able to:</w:t>
      </w:r>
    </w:p>
    <w:p>
      <w:pPr>
        <w:pStyle w:val="ListBullet"/>
      </w:pPr>
      <w:r>
        <w:rPr>
          <w:sz w:val="21"/>
        </w:rPr>
        <w:t>LO1: Develop strategies for implementing Microsoft Dynamics 365 CRM capabilities and utilising the tools to disseminate information</w:t>
      </w:r>
    </w:p>
    <w:p>
      <w:pPr>
        <w:pStyle w:val="ListBullet"/>
      </w:pPr>
      <w:r>
        <w:rPr>
          <w:sz w:val="21"/>
        </w:rPr>
        <w:t>LO2: Develop frameworks to define customer journeys for marketing on Microsoft Dynamics 365 CRM</w:t>
      </w:r>
    </w:p>
    <w:p>
      <w:pPr>
        <w:pStyle w:val="ListBullet"/>
      </w:pPr>
      <w:r>
        <w:rPr>
          <w:sz w:val="21"/>
        </w:rPr>
        <w:t>LO3: Manage strategies to optimise the deployment and performance of Dynamics 365 customer engagement apps</w:t>
      </w:r>
    </w:p>
    <w:p>
      <w:pPr>
        <w:pStyle w:val="ListBullet"/>
      </w:pPr>
      <w:r>
        <w:rPr>
          <w:sz w:val="21"/>
        </w:rPr>
        <w:t>LO4: Draw actionable insights from Dynamics 365 CRM data to evaluate team and service performance</w:t>
      </w:r>
    </w:p>
    <w:p>
      <w:pPr>
        <w:pStyle w:val="ListBullet"/>
      </w:pPr>
      <w:r>
        <w:rPr>
          <w:sz w:val="21"/>
        </w:rPr>
        <w:t>LO5: Review research outcomes and recommend investments in Dynamics 365 CRM tools and technologies</w:t>
      </w:r>
    </w:p>
    <w:p>
      <w:pPr>
        <w:pStyle w:val="Heading1"/>
      </w:pPr>
      <w:r>
        <w:t>Skills Framework Alignment</w:t>
      </w:r>
    </w:p>
    <w:p>
      <w:r>
        <w:t>This course is aligned to the Skills Framework Technical Skill and Competency Customer Relationship Management (RET-RAN-4001-1.1).</w:t>
      </w:r>
    </w:p>
    <w:tbl>
      <w:tblPr>
        <w:tblStyle w:val="TableGrid"/>
        <w:tblW w:type="auto" w:w="0"/>
        <w:tblLook w:firstColumn="1" w:firstRow="1" w:lastColumn="0" w:lastRow="0" w:noHBand="0" w:noVBand="1" w:val="04A0"/>
        <w:tblLayout w:type="fixed"/>
      </w:tblPr>
      <w:tblGrid>
        <w:gridCol w:w="1440"/>
        <w:gridCol w:w="8352"/>
      </w:tblGrid>
      <w:tr>
        <w:tc>
          <w:tcPr>
            <w:tcW w:type="dxa" w:w="1440"/>
            <w:shd w:val="clear" w:color="auto" w:fill="1F6FEB"/>
          </w:tcPr>
          <w:p>
            <w:r/>
            <w:r>
              <w:rPr>
                <w:b/>
                <w:color w:val="FFFFFF"/>
                <w:sz w:val="20"/>
              </w:rPr>
              <w:t>Reference</w:t>
            </w:r>
          </w:p>
        </w:tc>
        <w:tc>
          <w:tcPr>
            <w:tcW w:type="dxa" w:w="8352"/>
            <w:shd w:val="clear" w:color="auto" w:fill="1F6FEB"/>
          </w:tcPr>
          <w:p>
            <w:r/>
            <w:r>
              <w:rPr>
                <w:b/>
                <w:color w:val="FFFFFF"/>
                <w:sz w:val="20"/>
              </w:rPr>
              <w:t>Ability / Knowledge</w:t>
            </w:r>
          </w:p>
        </w:tc>
      </w:tr>
      <w:tr>
        <w:tc>
          <w:tcPr>
            <w:tcW w:type="dxa" w:w="1440"/>
            <w:shd w:val="clear" w:color="auto" w:fill="E8F0FE"/>
          </w:tcPr>
          <w:p>
            <w:r/>
            <w:r>
              <w:rPr>
                <w:b/>
                <w:sz w:val="20"/>
              </w:rPr>
              <w:t>A1</w:t>
            </w:r>
          </w:p>
        </w:tc>
        <w:tc>
          <w:tcPr>
            <w:tcW w:type="dxa" w:w="8352"/>
          </w:tcPr>
          <w:p>
            <w:r/>
            <w:r>
              <w:rPr>
                <w:sz w:val="20"/>
              </w:rPr>
              <w:t>Develop and manage plans for implementing new CRM capabilities</w:t>
            </w:r>
          </w:p>
        </w:tc>
      </w:tr>
      <w:tr>
        <w:tc>
          <w:tcPr>
            <w:tcW w:type="dxa" w:w="1440"/>
            <w:shd w:val="clear" w:color="auto" w:fill="E8F0FE"/>
          </w:tcPr>
          <w:p>
            <w:r/>
            <w:r>
              <w:rPr>
                <w:b/>
                <w:sz w:val="20"/>
              </w:rPr>
              <w:t>A2</w:t>
            </w:r>
          </w:p>
        </w:tc>
        <w:tc>
          <w:tcPr>
            <w:tcW w:type="dxa" w:w="8352"/>
          </w:tcPr>
          <w:p>
            <w:r/>
            <w:r>
              <w:rPr>
                <w:sz w:val="20"/>
              </w:rPr>
              <w:t>Review research findings and recommend investments in CRM tools and technologies deployment</w:t>
            </w:r>
          </w:p>
        </w:tc>
      </w:tr>
      <w:tr>
        <w:tc>
          <w:tcPr>
            <w:tcW w:type="dxa" w:w="1440"/>
            <w:shd w:val="clear" w:color="auto" w:fill="E8F0FE"/>
          </w:tcPr>
          <w:p>
            <w:r/>
            <w:r>
              <w:rPr>
                <w:b/>
                <w:sz w:val="20"/>
              </w:rPr>
              <w:t>A3</w:t>
            </w:r>
          </w:p>
        </w:tc>
        <w:tc>
          <w:tcPr>
            <w:tcW w:type="dxa" w:w="8352"/>
          </w:tcPr>
          <w:p>
            <w:r/>
            <w:r>
              <w:rPr>
                <w:sz w:val="20"/>
              </w:rPr>
              <w:t>Manage and monitor optimisation of CRM tools and technologies</w:t>
            </w:r>
          </w:p>
        </w:tc>
      </w:tr>
      <w:tr>
        <w:tc>
          <w:tcPr>
            <w:tcW w:type="dxa" w:w="1440"/>
            <w:shd w:val="clear" w:color="auto" w:fill="E8F0FE"/>
          </w:tcPr>
          <w:p>
            <w:r/>
            <w:r>
              <w:rPr>
                <w:b/>
                <w:sz w:val="20"/>
              </w:rPr>
              <w:t>A4</w:t>
            </w:r>
          </w:p>
        </w:tc>
        <w:tc>
          <w:tcPr>
            <w:tcW w:type="dxa" w:w="8352"/>
          </w:tcPr>
          <w:p>
            <w:r/>
            <w:r>
              <w:rPr>
                <w:sz w:val="20"/>
              </w:rPr>
              <w:t>Draw and communicate insights from CRM data</w:t>
            </w:r>
          </w:p>
        </w:tc>
      </w:tr>
      <w:tr>
        <w:tc>
          <w:tcPr>
            <w:tcW w:type="dxa" w:w="1440"/>
            <w:shd w:val="clear" w:color="auto" w:fill="E8F0FE"/>
          </w:tcPr>
          <w:p>
            <w:r/>
            <w:r>
              <w:rPr>
                <w:b/>
                <w:sz w:val="20"/>
              </w:rPr>
              <w:t>A5</w:t>
            </w:r>
          </w:p>
        </w:tc>
        <w:tc>
          <w:tcPr>
            <w:tcW w:type="dxa" w:w="8352"/>
          </w:tcPr>
          <w:p>
            <w:r/>
            <w:r>
              <w:rPr>
                <w:sz w:val="20"/>
              </w:rPr>
              <w:t>Draw insights into team's performance and fine-tune sales processes</w:t>
            </w:r>
          </w:p>
        </w:tc>
      </w:tr>
      <w:tr>
        <w:tc>
          <w:tcPr>
            <w:tcW w:type="dxa" w:w="1440"/>
            <w:shd w:val="clear" w:color="auto" w:fill="E8F0FE"/>
          </w:tcPr>
          <w:p>
            <w:r/>
            <w:r>
              <w:rPr>
                <w:b/>
                <w:sz w:val="20"/>
              </w:rPr>
              <w:t>A6</w:t>
            </w:r>
          </w:p>
        </w:tc>
        <w:tc>
          <w:tcPr>
            <w:tcW w:type="dxa" w:w="8352"/>
          </w:tcPr>
          <w:p>
            <w:r/>
            <w:r>
              <w:rPr>
                <w:sz w:val="20"/>
              </w:rPr>
              <w:t>Utilise appropriate tools to share information and stay connected from anywhere</w:t>
            </w:r>
          </w:p>
        </w:tc>
      </w:tr>
      <w:tr>
        <w:tc>
          <w:tcPr>
            <w:tcW w:type="dxa" w:w="1440"/>
            <w:shd w:val="clear" w:color="auto" w:fill="E8F0FE"/>
          </w:tcPr>
          <w:p>
            <w:r/>
            <w:r>
              <w:rPr>
                <w:b/>
                <w:sz w:val="20"/>
              </w:rPr>
              <w:t>A7</w:t>
            </w:r>
          </w:p>
        </w:tc>
        <w:tc>
          <w:tcPr>
            <w:tcW w:type="dxa" w:w="8352"/>
          </w:tcPr>
          <w:p>
            <w:r/>
            <w:r>
              <w:rPr>
                <w:sz w:val="20"/>
              </w:rPr>
              <w:t>Develop and define customer journeys for marketing and remarketing</w:t>
            </w:r>
          </w:p>
        </w:tc>
      </w:tr>
      <w:tr>
        <w:tc>
          <w:tcPr>
            <w:tcW w:type="dxa" w:w="1440"/>
            <w:shd w:val="clear" w:color="auto" w:fill="E8F0FE"/>
          </w:tcPr>
          <w:p>
            <w:r/>
            <w:r>
              <w:rPr>
                <w:b/>
                <w:sz w:val="20"/>
              </w:rPr>
              <w:t>K1</w:t>
            </w:r>
          </w:p>
        </w:tc>
        <w:tc>
          <w:tcPr>
            <w:tcW w:type="dxa" w:w="8352"/>
          </w:tcPr>
          <w:p>
            <w:r/>
            <w:r>
              <w:rPr>
                <w:sz w:val="20"/>
              </w:rPr>
              <w:t>Organisation's CRM strategies</w:t>
            </w:r>
          </w:p>
        </w:tc>
      </w:tr>
      <w:tr>
        <w:tc>
          <w:tcPr>
            <w:tcW w:type="dxa" w:w="1440"/>
            <w:shd w:val="clear" w:color="auto" w:fill="E8F0FE"/>
          </w:tcPr>
          <w:p>
            <w:r/>
            <w:r>
              <w:rPr>
                <w:b/>
                <w:sz w:val="20"/>
              </w:rPr>
              <w:t>K2</w:t>
            </w:r>
          </w:p>
        </w:tc>
        <w:tc>
          <w:tcPr>
            <w:tcW w:type="dxa" w:w="8352"/>
          </w:tcPr>
          <w:p>
            <w:r/>
            <w:r>
              <w:rPr>
                <w:sz w:val="20"/>
              </w:rPr>
              <w:t>Limitations of CRM</w:t>
            </w:r>
          </w:p>
        </w:tc>
      </w:tr>
      <w:tr>
        <w:tc>
          <w:tcPr>
            <w:tcW w:type="dxa" w:w="1440"/>
            <w:shd w:val="clear" w:color="auto" w:fill="E8F0FE"/>
          </w:tcPr>
          <w:p>
            <w:r/>
            <w:r>
              <w:rPr>
                <w:b/>
                <w:sz w:val="20"/>
              </w:rPr>
              <w:t>K3</w:t>
            </w:r>
          </w:p>
        </w:tc>
        <w:tc>
          <w:tcPr>
            <w:tcW w:type="dxa" w:w="8352"/>
          </w:tcPr>
          <w:p>
            <w:r/>
            <w:r>
              <w:rPr>
                <w:sz w:val="20"/>
              </w:rPr>
              <w:t>Opportunities of CRM</w:t>
            </w:r>
          </w:p>
        </w:tc>
      </w:tr>
      <w:tr>
        <w:tc>
          <w:tcPr>
            <w:tcW w:type="dxa" w:w="1440"/>
            <w:shd w:val="clear" w:color="auto" w:fill="E8F0FE"/>
          </w:tcPr>
          <w:p>
            <w:r/>
            <w:r>
              <w:rPr>
                <w:b/>
                <w:sz w:val="20"/>
              </w:rPr>
              <w:t>K4</w:t>
            </w:r>
          </w:p>
        </w:tc>
        <w:tc>
          <w:tcPr>
            <w:tcW w:type="dxa" w:w="8352"/>
          </w:tcPr>
          <w:p>
            <w:r/>
            <w:r>
              <w:rPr>
                <w:sz w:val="20"/>
              </w:rPr>
              <w:t>Types of CRM technology and tools</w:t>
            </w:r>
          </w:p>
        </w:tc>
      </w:tr>
      <w:tr>
        <w:tc>
          <w:tcPr>
            <w:tcW w:type="dxa" w:w="1440"/>
            <w:shd w:val="clear" w:color="auto" w:fill="E8F0FE"/>
          </w:tcPr>
          <w:p>
            <w:r/>
            <w:r>
              <w:rPr>
                <w:b/>
                <w:sz w:val="20"/>
              </w:rPr>
              <w:t>K5</w:t>
            </w:r>
          </w:p>
        </w:tc>
        <w:tc>
          <w:tcPr>
            <w:tcW w:type="dxa" w:w="8352"/>
          </w:tcPr>
          <w:p>
            <w:r/>
            <w:r>
              <w:rPr>
                <w:sz w:val="20"/>
              </w:rPr>
              <w:t>Criteria for recommending investments in CRM tools and technologies</w:t>
            </w:r>
          </w:p>
        </w:tc>
      </w:tr>
      <w:tr>
        <w:tc>
          <w:tcPr>
            <w:tcW w:type="dxa" w:w="1440"/>
            <w:shd w:val="clear" w:color="auto" w:fill="E8F0FE"/>
          </w:tcPr>
          <w:p>
            <w:r/>
            <w:r>
              <w:rPr>
                <w:b/>
                <w:sz w:val="20"/>
              </w:rPr>
              <w:t>K6</w:t>
            </w:r>
          </w:p>
        </w:tc>
        <w:tc>
          <w:tcPr>
            <w:tcW w:type="dxa" w:w="8352"/>
          </w:tcPr>
          <w:p>
            <w:r/>
            <w:r>
              <w:rPr>
                <w:sz w:val="20"/>
              </w:rPr>
              <w:t>Criteria for improving existing CRM practices and programmes</w:t>
            </w:r>
          </w:p>
        </w:tc>
      </w:tr>
      <w:tr>
        <w:tc>
          <w:tcPr>
            <w:tcW w:type="dxa" w:w="1440"/>
            <w:shd w:val="clear" w:color="auto" w:fill="E8F0FE"/>
          </w:tcPr>
          <w:p>
            <w:r/>
            <w:r>
              <w:rPr>
                <w:b/>
                <w:sz w:val="20"/>
              </w:rPr>
              <w:t>K7</w:t>
            </w:r>
          </w:p>
        </w:tc>
        <w:tc>
          <w:tcPr>
            <w:tcW w:type="dxa" w:w="8352"/>
          </w:tcPr>
          <w:p>
            <w:r/>
            <w:r>
              <w:rPr>
                <w:sz w:val="20"/>
              </w:rPr>
              <w:t>Processes involved in monitoring optimisation of CRM tools and technologies</w:t>
            </w:r>
          </w:p>
        </w:tc>
      </w:tr>
      <w:tr>
        <w:tc>
          <w:tcPr>
            <w:tcW w:type="dxa" w:w="1440"/>
            <w:shd w:val="clear" w:color="auto" w:fill="E8F0FE"/>
          </w:tcPr>
          <w:p>
            <w:r/>
            <w:r>
              <w:rPr>
                <w:b/>
                <w:sz w:val="20"/>
              </w:rPr>
              <w:t>K8</w:t>
            </w:r>
          </w:p>
        </w:tc>
        <w:tc>
          <w:tcPr>
            <w:tcW w:type="dxa" w:w="8352"/>
          </w:tcPr>
          <w:p>
            <w:r/>
            <w:r>
              <w:rPr>
                <w:sz w:val="20"/>
              </w:rPr>
              <w:t>Methods for drawing and communicating insights from CRM data</w:t>
            </w:r>
          </w:p>
        </w:tc>
      </w:tr>
      <w:tr>
        <w:tc>
          <w:tcPr>
            <w:tcW w:type="dxa" w:w="1440"/>
            <w:shd w:val="clear" w:color="auto" w:fill="E8F0FE"/>
          </w:tcPr>
          <w:p>
            <w:r/>
            <w:r>
              <w:rPr>
                <w:b/>
                <w:sz w:val="20"/>
              </w:rPr>
              <w:t>K9</w:t>
            </w:r>
          </w:p>
        </w:tc>
        <w:tc>
          <w:tcPr>
            <w:tcW w:type="dxa" w:w="8352"/>
          </w:tcPr>
          <w:p>
            <w:r/>
            <w:r>
              <w:rPr>
                <w:sz w:val="20"/>
              </w:rPr>
              <w:t>Criteria for reviewing research findings related to CRM</w:t>
            </w:r>
          </w:p>
        </w:tc>
      </w:tr>
    </w:tbl>
    <w:p>
      <w:pPr>
        <w:pStyle w:val="Heading1"/>
      </w:pPr>
      <w:r>
        <w:t>Assessment</w:t>
      </w:r>
    </w:p>
    <w:p>
      <w:pPr>
        <w:pStyle w:val="ListBullet"/>
      </w:pPr>
      <w:r>
        <w:rPr>
          <w:sz w:val="21"/>
        </w:rPr>
        <w:t>Written Assessment (WA) — Short-Answer Questions (SAQ), 1 hour, open book.</w:t>
      </w:r>
    </w:p>
    <w:p>
      <w:pPr>
        <w:pStyle w:val="ListBullet"/>
      </w:pPr>
      <w:r>
        <w:rPr>
          <w:sz w:val="21"/>
        </w:rPr>
        <w:t>Practical Performance (PP) — hands-on Dynamics 365 tasks, 1 hour, open book.</w:t>
      </w:r>
    </w:p>
    <w:p>
      <w:pPr>
        <w:pStyle w:val="ListBullet"/>
      </w:pPr>
      <w:r>
        <w:rPr>
          <w:sz w:val="21"/>
        </w:rPr>
        <w:t>Format: Open Book — course slides, Learner Guide and approved materials only.</w:t>
      </w:r>
    </w:p>
    <w:p>
      <w:pPr>
        <w:pStyle w:val="ListBullet"/>
      </w:pPr>
      <w:r>
        <w:rPr>
          <w:sz w:val="21"/>
        </w:rPr>
        <w:t>The final assessment is conducted at the end of Day 2 and totals 2 hours.</w:t>
      </w:r>
    </w:p>
    <w:p>
      <w:pPr>
        <w:pStyle w:val="ListBullet"/>
      </w:pPr>
      <w:r>
        <w:rPr>
          <w:sz w:val="21"/>
        </w:rPr>
        <w:t>Learners must be assessed as 'Competent' in BOTH instruments.</w:t>
      </w:r>
    </w:p>
    <w:p>
      <w:pPr>
        <w:pStyle w:val="ListBullet"/>
      </w:pPr>
      <w:r>
        <w:rPr>
          <w:sz w:val="21"/>
        </w:rPr>
        <w:t>A minimum of 75% attendance is required and candidates must be assessed as 'Competent' to be eligible for WSQ funding.</w:t>
      </w:r>
    </w:p>
    <w:p>
      <w:pPr>
        <w:pStyle w:val="Heading1"/>
      </w:pPr>
      <w:r>
        <w:t>Training Resources</w:t>
      </w:r>
    </w:p>
    <w:p>
      <w:pPr>
        <w:pStyle w:val="ListBullet"/>
      </w:pPr>
      <w:r>
        <w:rPr>
          <w:sz w:val="21"/>
        </w:rPr>
        <w:t>Master Trainer Slides (PowerPoint / PDF) — Microsoft Dynamics 365 Fundamentals (CRM) (MB-910) v6</w:t>
      </w:r>
    </w:p>
    <w:p>
      <w:pPr>
        <w:pStyle w:val="ListBullet"/>
      </w:pPr>
      <w:r>
        <w:rPr>
          <w:sz w:val="21"/>
        </w:rPr>
        <w:t>Learner Guide (DOCX / PDF) with detailed step-by-step instructions for all 10 labs</w:t>
      </w:r>
    </w:p>
    <w:p>
      <w:pPr>
        <w:pStyle w:val="ListBullet"/>
      </w:pPr>
      <w:r>
        <w:rPr>
          <w:sz w:val="21"/>
        </w:rPr>
        <w:t>Lab folders with mock data (CSV) and a printable instruction PDF per lab</w:t>
      </w:r>
    </w:p>
    <w:p>
      <w:pPr>
        <w:pStyle w:val="ListBullet"/>
      </w:pPr>
      <w:r>
        <w:rPr>
          <w:sz w:val="21"/>
        </w:rPr>
        <w:t>A Microsoft Dynamics 365 environment (trainer tenant or a 30-day trial at trials.dynamics.com)</w:t>
      </w:r>
    </w:p>
    <w:p>
      <w:pPr>
        <w:pStyle w:val="ListBullet"/>
      </w:pPr>
      <w:r>
        <w:rPr>
          <w:sz w:val="21"/>
        </w:rPr>
        <w:t>Laptop or desktop with a modern browser (Microsoft Edge or Google Chrome)</w:t>
      </w:r>
    </w:p>
    <w:p>
      <w:pPr>
        <w:pStyle w:val="ListBullet"/>
      </w:pPr>
      <w:r>
        <w:rPr>
          <w:sz w:val="21"/>
        </w:rPr>
        <w:t>LMS/TMS portal for course material, attendance and assessment submission: https://lms-tms.tertiaryinfotech.com</w:t>
      </w:r>
    </w:p>
    <w:p>
      <w:pPr>
        <w:pStyle w:val="Heading1"/>
      </w:pPr>
      <w:r>
        <w:t>Course Schedule</w:t>
      </w:r>
    </w:p>
    <w:p>
      <w:r>
        <w:t>Each training day totals 8 instructional hours from 9:30 am to 6:30 pm. The 1-hour lunch break is excluded from instructional time; tea breaks are counted within it. Slide references point to the current version of the Master Trainer Slides.</w:t>
      </w:r>
    </w:p>
    <w:p>
      <w:pPr>
        <w:pStyle w:val="Heading2"/>
      </w:pPr>
      <w:r>
        <w:t>Day 1 — Core CE capabilities, shared activities and the Customer Insights apps</w:t>
      </w:r>
    </w:p>
    <w:tbl>
      <w:tblPr>
        <w:tblStyle w:val="TableGrid"/>
        <w:tblW w:type="auto" w:w="0"/>
        <w:jc w:val="center"/>
        <w:tblLook w:firstColumn="1" w:firstRow="1" w:lastColumn="0" w:lastRow="0" w:noHBand="0" w:noVBand="1" w:val="04A0"/>
        <w:tblLayout w:type="fixed"/>
      </w:tblPr>
      <w:tblGrid>
        <w:gridCol w:w="1368"/>
        <w:gridCol w:w="1007"/>
        <w:gridCol w:w="6120"/>
        <w:gridCol w:w="1296"/>
      </w:tblGrid>
      <w:tr>
        <w:tc>
          <w:tcPr>
            <w:tcW w:type="dxa" w:w="1368"/>
            <w:shd w:val="clear" w:color="auto" w:fill="1F6FEB"/>
          </w:tcPr>
          <w:p>
            <w:r/>
            <w:r>
              <w:rPr>
                <w:rFonts w:ascii="Arial" w:hAnsi="Arial"/>
                <w:b/>
                <w:color w:val="FFFFFF"/>
                <w:sz w:val="20"/>
              </w:rPr>
              <w:t>Time</w:t>
            </w:r>
          </w:p>
        </w:tc>
        <w:tc>
          <w:tcPr>
            <w:tcW w:type="dxa" w:w="1008"/>
            <w:shd w:val="clear" w:color="auto" w:fill="1F6FEB"/>
          </w:tcPr>
          <w:p>
            <w:r/>
            <w:r>
              <w:rPr>
                <w:rFonts w:ascii="Arial" w:hAnsi="Arial"/>
                <w:b/>
                <w:color w:val="FFFFFF"/>
                <w:sz w:val="20"/>
              </w:rPr>
              <w:t>Duration</w:t>
            </w:r>
          </w:p>
        </w:tc>
        <w:tc>
          <w:tcPr>
            <w:tcW w:type="dxa" w:w="6120"/>
            <w:shd w:val="clear" w:color="auto" w:fill="1F6FEB"/>
          </w:tcPr>
          <w:p>
            <w:r/>
            <w:r>
              <w:rPr>
                <w:rFonts w:ascii="Arial" w:hAnsi="Arial"/>
                <w:b/>
                <w:color w:val="FFFFFF"/>
                <w:sz w:val="20"/>
              </w:rPr>
              <w:t>Topic / Activity</w:t>
            </w:r>
          </w:p>
        </w:tc>
        <w:tc>
          <w:tcPr>
            <w:tcW w:type="dxa" w:w="1296"/>
            <w:shd w:val="clear" w:color="auto" w:fill="1F6FEB"/>
          </w:tcPr>
          <w:p>
            <w:r/>
            <w:r>
              <w:rPr>
                <w:rFonts w:ascii="Arial" w:hAnsi="Arial"/>
                <w:b/>
                <w:color w:val="FFFFFF"/>
                <w:sz w:val="20"/>
              </w:rPr>
              <w:t>Slides</w:t>
            </w:r>
          </w:p>
        </w:tc>
      </w:tr>
      <w:tr>
        <w:tc>
          <w:tcPr>
            <w:tcW w:type="dxa" w:w="1368"/>
            <w:shd w:val="clear" w:color="auto" w:fill="F3F5F8"/>
          </w:tcPr>
          <w:p>
            <w:r/>
            <w:r>
              <w:rPr>
                <w:rFonts w:ascii="Arial" w:hAnsi="Arial"/>
                <w:b w:val="0"/>
                <w:sz w:val="19"/>
              </w:rPr>
              <w:t>9:30–10:00</w:t>
            </w:r>
          </w:p>
        </w:tc>
        <w:tc>
          <w:tcPr>
            <w:tcW w:type="dxa" w:w="1008"/>
            <w:shd w:val="clear" w:color="auto" w:fill="F3F5F8"/>
          </w:tcPr>
          <w:p>
            <w:r/>
            <w:r>
              <w:rPr>
                <w:rFonts w:ascii="Arial" w:hAnsi="Arial"/>
                <w:b w:val="0"/>
                <w:sz w:val="19"/>
              </w:rPr>
              <w:t>30 min</w:t>
            </w:r>
          </w:p>
        </w:tc>
        <w:tc>
          <w:tcPr>
            <w:tcW w:type="dxa" w:w="6120"/>
            <w:shd w:val="clear" w:color="auto" w:fill="F3F5F8"/>
          </w:tcPr>
          <w:p>
            <w:r/>
            <w:r>
              <w:rPr>
                <w:rFonts w:ascii="Arial" w:hAnsi="Arial"/>
                <w:b w:val="0"/>
                <w:sz w:val="19"/>
              </w:rPr>
              <w:t>Welcome and trainer introduction; ground rules; mandatory AM digital attendance (TRAQOM); course map, learning outcomes and course outline; how to download course material from the LMS/TMS portal</w:t>
            </w:r>
          </w:p>
        </w:tc>
        <w:tc>
          <w:tcPr>
            <w:tcW w:type="dxa" w:w="1296"/>
            <w:shd w:val="clear" w:color="auto" w:fill="F3F5F8"/>
          </w:tcPr>
          <w:p>
            <w:r/>
            <w:r>
              <w:rPr>
                <w:rFonts w:ascii="Arial" w:hAnsi="Arial"/>
                <w:b w:val="0"/>
                <w:sz w:val="18"/>
              </w:rPr>
              <w:t>slides 2+</w:t>
            </w:r>
          </w:p>
        </w:tc>
      </w:tr>
      <w:tr>
        <w:tc>
          <w:tcPr>
            <w:tcW w:type="dxa" w:w="1368"/>
            <w:shd w:val="clear" w:color="auto" w:fill="E8F0FE"/>
          </w:tcPr>
          <w:p>
            <w:r/>
            <w:r>
              <w:rPr>
                <w:rFonts w:ascii="Arial" w:hAnsi="Arial"/>
                <w:b/>
                <w:sz w:val="19"/>
              </w:rPr>
              <w:t>10:00–11:00</w:t>
            </w:r>
          </w:p>
        </w:tc>
        <w:tc>
          <w:tcPr>
            <w:tcW w:type="dxa" w:w="1008"/>
            <w:shd w:val="clear" w:color="auto" w:fill="E8F0FE"/>
          </w:tcPr>
          <w:p>
            <w:r/>
            <w:r>
              <w:rPr>
                <w:rFonts w:ascii="Arial" w:hAnsi="Arial"/>
                <w:b w:val="0"/>
                <w:sz w:val="19"/>
              </w:rPr>
              <w:t>60 min</w:t>
            </w:r>
          </w:p>
        </w:tc>
        <w:tc>
          <w:tcPr>
            <w:tcW w:type="dxa" w:w="6120"/>
            <w:shd w:val="clear" w:color="auto" w:fill="E8F0FE"/>
          </w:tcPr>
          <w:p>
            <w:r/>
            <w:r>
              <w:rPr>
                <w:rFonts w:ascii="Arial" w:hAnsi="Arial"/>
                <w:b/>
                <w:sz w:val="19"/>
              </w:rPr>
              <w:t>Topic 1 — Foundations of Dynamics 365 customer engagement apps: customer relationship management concepts; Microsoft Power Platform; Microsoft Dataverse; the five customer engagement apps; Copilot; ways to access and navigate</w:t>
            </w:r>
          </w:p>
        </w:tc>
        <w:tc>
          <w:tcPr>
            <w:tcW w:type="dxa" w:w="1296"/>
            <w:shd w:val="clear" w:color="auto" w:fill="E8F0FE"/>
          </w:tcPr>
          <w:p>
            <w:r/>
            <w:r>
              <w:rPr>
                <w:rFonts w:ascii="Arial" w:hAnsi="Arial"/>
                <w:b w:val="0"/>
                <w:sz w:val="18"/>
              </w:rPr>
              <w:t>slides 21+</w:t>
            </w:r>
          </w:p>
        </w:tc>
      </w:tr>
      <w:tr>
        <w:tc>
          <w:tcPr>
            <w:tcW w:type="dxa" w:w="1368"/>
            <w:shd w:val="clear" w:color="auto" w:fill="FFF4E5"/>
          </w:tcPr>
          <w:p>
            <w:r/>
            <w:r>
              <w:rPr>
                <w:rFonts w:ascii="Arial" w:hAnsi="Arial"/>
                <w:b w:val="0"/>
                <w:sz w:val="19"/>
              </w:rPr>
              <w:t>11:00–11:15</w:t>
            </w:r>
          </w:p>
        </w:tc>
        <w:tc>
          <w:tcPr>
            <w:tcW w:type="dxa" w:w="1008"/>
            <w:shd w:val="clear" w:color="auto" w:fill="FFF4E5"/>
          </w:tcPr>
          <w:p>
            <w:r/>
            <w:r>
              <w:rPr>
                <w:rFonts w:ascii="Arial" w:hAnsi="Arial"/>
                <w:b w:val="0"/>
                <w:sz w:val="19"/>
              </w:rPr>
              <w:t>15 min</w:t>
            </w:r>
          </w:p>
        </w:tc>
        <w:tc>
          <w:tcPr>
            <w:tcW w:type="dxa" w:w="6120"/>
            <w:shd w:val="clear" w:color="auto" w:fill="FFF4E5"/>
          </w:tcPr>
          <w:p>
            <w:r/>
            <w:r>
              <w:rPr>
                <w:rFonts w:ascii="Arial" w:hAnsi="Arial"/>
                <w:b w:val="0"/>
                <w:sz w:val="19"/>
              </w:rPr>
              <w:t>Tea break</w:t>
            </w:r>
          </w:p>
        </w:tc>
        <w:tc>
          <w:tcPr>
            <w:tcW w:type="dxa" w:w="1296"/>
            <w:shd w:val="clear" w:color="auto" w:fill="FFF4E5"/>
          </w:tcPr>
          <w:p>
            <w:r/>
            <w:r>
              <w:rPr>
                <w:rFonts w:ascii="Arial" w:hAnsi="Arial"/>
                <w:b w:val="0"/>
                <w:sz w:val="18"/>
              </w:rPr>
              <w:t>—</w:t>
            </w:r>
          </w:p>
        </w:tc>
      </w:tr>
      <w:tr>
        <w:tc>
          <w:tcPr>
            <w:tcW w:type="dxa" w:w="1368"/>
          </w:tcPr>
          <w:p>
            <w:r/>
            <w:r>
              <w:rPr>
                <w:rFonts w:ascii="Arial" w:hAnsi="Arial"/>
                <w:b w:val="0"/>
                <w:sz w:val="19"/>
              </w:rPr>
              <w:t>11:15–12:00</w:t>
            </w:r>
          </w:p>
        </w:tc>
        <w:tc>
          <w:tcPr>
            <w:tcW w:type="dxa" w:w="1008"/>
          </w:tcPr>
          <w:p>
            <w:r/>
            <w:r>
              <w:rPr>
                <w:rFonts w:ascii="Arial" w:hAnsi="Arial"/>
                <w:b w:val="0"/>
                <w:sz w:val="19"/>
              </w:rPr>
              <w:t>45 min</w:t>
            </w:r>
          </w:p>
        </w:tc>
        <w:tc>
          <w:tcPr>
            <w:tcW w:type="dxa" w:w="6120"/>
          </w:tcPr>
          <w:p>
            <w:r/>
            <w:r>
              <w:rPr>
                <w:rFonts w:ascii="Arial" w:hAnsi="Arial"/>
                <w:b w:val="0"/>
                <w:sz w:val="19"/>
              </w:rPr>
              <w:t>Hands-on: Lab 1: Navigate Dynamics 365 and Explore Dataverse — sign in to the Power Platform admin center, inspect the environment and its Dataverse database, explore tables and relationships, switch between apps, and record the environment inventory</w:t>
            </w:r>
          </w:p>
        </w:tc>
        <w:tc>
          <w:tcPr>
            <w:tcW w:type="dxa" w:w="1296"/>
          </w:tcPr>
          <w:p>
            <w:r/>
            <w:r>
              <w:rPr>
                <w:rFonts w:ascii="Arial" w:hAnsi="Arial"/>
                <w:b w:val="0"/>
                <w:sz w:val="18"/>
              </w:rPr>
              <w:t>slides 28+</w:t>
            </w:r>
          </w:p>
        </w:tc>
      </w:tr>
      <w:tr>
        <w:tc>
          <w:tcPr>
            <w:tcW w:type="dxa" w:w="1368"/>
            <w:shd w:val="clear" w:color="auto" w:fill="E8F0FE"/>
          </w:tcPr>
          <w:p>
            <w:r/>
            <w:r>
              <w:rPr>
                <w:rFonts w:ascii="Arial" w:hAnsi="Arial"/>
                <w:b/>
                <w:sz w:val="19"/>
              </w:rPr>
              <w:t>12:00–12:30</w:t>
            </w:r>
          </w:p>
        </w:tc>
        <w:tc>
          <w:tcPr>
            <w:tcW w:type="dxa" w:w="1008"/>
            <w:shd w:val="clear" w:color="auto" w:fill="E8F0FE"/>
          </w:tcPr>
          <w:p>
            <w:r/>
            <w:r>
              <w:rPr>
                <w:rFonts w:ascii="Arial" w:hAnsi="Arial"/>
                <w:b w:val="0"/>
                <w:sz w:val="19"/>
              </w:rPr>
              <w:t>30 min</w:t>
            </w:r>
          </w:p>
        </w:tc>
        <w:tc>
          <w:tcPr>
            <w:tcW w:type="dxa" w:w="6120"/>
            <w:shd w:val="clear" w:color="auto" w:fill="E8F0FE"/>
          </w:tcPr>
          <w:p>
            <w:r/>
            <w:r>
              <w:rPr>
                <w:rFonts w:ascii="Arial" w:hAnsi="Arial"/>
                <w:b/>
                <w:sz w:val="19"/>
              </w:rPr>
              <w:t>Topic 2 — Shared activities and integration options: accounts and contacts (B2B, B2C, hybrid); the six activity types and the timeline; filtering versus searching; Advanced Find</w:t>
            </w:r>
          </w:p>
        </w:tc>
        <w:tc>
          <w:tcPr>
            <w:tcW w:type="dxa" w:w="1296"/>
            <w:shd w:val="clear" w:color="auto" w:fill="E8F0FE"/>
          </w:tcPr>
          <w:p>
            <w:r/>
            <w:r>
              <w:rPr>
                <w:rFonts w:ascii="Arial" w:hAnsi="Arial"/>
                <w:b w:val="0"/>
                <w:sz w:val="18"/>
              </w:rPr>
              <w:t>slides 29+</w:t>
            </w:r>
          </w:p>
        </w:tc>
      </w:tr>
      <w:tr>
        <w:tc>
          <w:tcPr>
            <w:tcW w:type="dxa" w:w="1368"/>
          </w:tcPr>
          <w:p>
            <w:r/>
            <w:r>
              <w:rPr>
                <w:rFonts w:ascii="Arial" w:hAnsi="Arial"/>
                <w:b w:val="0"/>
                <w:sz w:val="19"/>
              </w:rPr>
              <w:t>12:30–13:30</w:t>
            </w:r>
          </w:p>
        </w:tc>
        <w:tc>
          <w:tcPr>
            <w:tcW w:type="dxa" w:w="1008"/>
          </w:tcPr>
          <w:p>
            <w:r/>
            <w:r>
              <w:rPr>
                <w:rFonts w:ascii="Arial" w:hAnsi="Arial"/>
                <w:b w:val="0"/>
                <w:sz w:val="19"/>
              </w:rPr>
              <w:t>60 min</w:t>
            </w:r>
          </w:p>
        </w:tc>
        <w:tc>
          <w:tcPr>
            <w:tcW w:type="dxa" w:w="6120"/>
          </w:tcPr>
          <w:p>
            <w:r/>
            <w:r>
              <w:rPr>
                <w:rFonts w:ascii="Arial" w:hAnsi="Arial"/>
                <w:b w:val="0"/>
                <w:sz w:val="19"/>
              </w:rPr>
              <w:t>Hands-on (part 1): Lab 2: Manage Customers, Activities and Reporting Views — create the account and its related contacts, and log phone call, task, appointment and email activities on the timeline</w:t>
            </w:r>
          </w:p>
        </w:tc>
        <w:tc>
          <w:tcPr>
            <w:tcW w:type="dxa" w:w="1296"/>
          </w:tcPr>
          <w:p>
            <w:r/>
            <w:r>
              <w:rPr>
                <w:rFonts w:ascii="Arial" w:hAnsi="Arial"/>
                <w:b w:val="0"/>
                <w:sz w:val="18"/>
              </w:rPr>
              <w:t>slides 38+</w:t>
            </w:r>
          </w:p>
        </w:tc>
      </w:tr>
      <w:tr>
        <w:tc>
          <w:tcPr>
            <w:tcW w:type="dxa" w:w="1368"/>
            <w:shd w:val="clear" w:color="auto" w:fill="FDE9D9"/>
          </w:tcPr>
          <w:p>
            <w:r/>
            <w:r>
              <w:rPr>
                <w:rFonts w:ascii="Arial" w:hAnsi="Arial"/>
                <w:b w:val="0"/>
                <w:sz w:val="19"/>
              </w:rPr>
              <w:t>13:30–14:30</w:t>
            </w:r>
          </w:p>
        </w:tc>
        <w:tc>
          <w:tcPr>
            <w:tcW w:type="dxa" w:w="1008"/>
            <w:shd w:val="clear" w:color="auto" w:fill="FDE9D9"/>
          </w:tcPr>
          <w:p>
            <w:r/>
            <w:r>
              <w:rPr>
                <w:rFonts w:ascii="Arial" w:hAnsi="Arial"/>
                <w:b w:val="0"/>
                <w:sz w:val="19"/>
              </w:rPr>
              <w:t>60 min</w:t>
            </w:r>
          </w:p>
        </w:tc>
        <w:tc>
          <w:tcPr>
            <w:tcW w:type="dxa" w:w="6120"/>
            <w:shd w:val="clear" w:color="auto" w:fill="FDE9D9"/>
          </w:tcPr>
          <w:p>
            <w:r/>
            <w:r>
              <w:rPr>
                <w:rFonts w:ascii="Arial" w:hAnsi="Arial"/>
                <w:b w:val="0"/>
                <w:sz w:val="19"/>
              </w:rPr>
              <w:t>Lunch break</w:t>
            </w:r>
          </w:p>
        </w:tc>
        <w:tc>
          <w:tcPr>
            <w:tcW w:type="dxa" w:w="1296"/>
            <w:shd w:val="clear" w:color="auto" w:fill="FDE9D9"/>
          </w:tcPr>
          <w:p>
            <w:r/>
            <w:r>
              <w:rPr>
                <w:rFonts w:ascii="Arial" w:hAnsi="Arial"/>
                <w:b w:val="0"/>
                <w:sz w:val="18"/>
              </w:rPr>
              <w:t>—</w:t>
            </w:r>
          </w:p>
        </w:tc>
      </w:tr>
      <w:tr>
        <w:tc>
          <w:tcPr>
            <w:tcW w:type="dxa" w:w="1368"/>
            <w:shd w:val="clear" w:color="auto" w:fill="E8F0FE"/>
          </w:tcPr>
          <w:p>
            <w:r/>
            <w:r>
              <w:rPr>
                <w:rFonts w:ascii="Arial" w:hAnsi="Arial"/>
                <w:b/>
                <w:sz w:val="19"/>
              </w:rPr>
              <w:t>14:30–15:00</w:t>
            </w:r>
          </w:p>
        </w:tc>
        <w:tc>
          <w:tcPr>
            <w:tcW w:type="dxa" w:w="1008"/>
            <w:shd w:val="clear" w:color="auto" w:fill="E8F0FE"/>
          </w:tcPr>
          <w:p>
            <w:r/>
            <w:r>
              <w:rPr>
                <w:rFonts w:ascii="Arial" w:hAnsi="Arial"/>
                <w:b w:val="0"/>
                <w:sz w:val="19"/>
              </w:rPr>
              <w:t>30 min</w:t>
            </w:r>
          </w:p>
        </w:tc>
        <w:tc>
          <w:tcPr>
            <w:tcW w:type="dxa" w:w="6120"/>
            <w:shd w:val="clear" w:color="auto" w:fill="E8F0FE"/>
          </w:tcPr>
          <w:p>
            <w:r/>
            <w:r>
              <w:rPr>
                <w:rFonts w:ascii="Arial" w:hAnsi="Arial"/>
                <w:b/>
                <w:sz w:val="19"/>
              </w:rPr>
              <w:t>Topic 2 (continued) — reporting capabilities: views, charts and dashboards; Power BI; Excel static and dynamic worksheets and templates; Microsoft Teams and Outlook integration. PM digital attendance</w:t>
            </w:r>
          </w:p>
        </w:tc>
        <w:tc>
          <w:tcPr>
            <w:tcW w:type="dxa" w:w="1296"/>
            <w:shd w:val="clear" w:color="auto" w:fill="E8F0FE"/>
          </w:tcPr>
          <w:p>
            <w:r/>
            <w:r>
              <w:rPr>
                <w:rFonts w:ascii="Arial" w:hAnsi="Arial"/>
                <w:b w:val="0"/>
                <w:sz w:val="18"/>
              </w:rPr>
              <w:t>slides 29+</w:t>
            </w:r>
          </w:p>
        </w:tc>
      </w:tr>
      <w:tr>
        <w:tc>
          <w:tcPr>
            <w:tcW w:type="dxa" w:w="1368"/>
          </w:tcPr>
          <w:p>
            <w:r/>
            <w:r>
              <w:rPr>
                <w:rFonts w:ascii="Arial" w:hAnsi="Arial"/>
                <w:b w:val="0"/>
                <w:sz w:val="19"/>
              </w:rPr>
              <w:t>15:00–15:30</w:t>
            </w:r>
          </w:p>
        </w:tc>
        <w:tc>
          <w:tcPr>
            <w:tcW w:type="dxa" w:w="1008"/>
          </w:tcPr>
          <w:p>
            <w:r/>
            <w:r>
              <w:rPr>
                <w:rFonts w:ascii="Arial" w:hAnsi="Arial"/>
                <w:b w:val="0"/>
                <w:sz w:val="19"/>
              </w:rPr>
              <w:t>30 min</w:t>
            </w:r>
          </w:p>
        </w:tc>
        <w:tc>
          <w:tcPr>
            <w:tcW w:type="dxa" w:w="6120"/>
          </w:tcPr>
          <w:p>
            <w:r/>
            <w:r>
              <w:rPr>
                <w:rFonts w:ascii="Arial" w:hAnsi="Arial"/>
                <w:b w:val="0"/>
                <w:sz w:val="19"/>
              </w:rPr>
              <w:t>Hands-on (part 2): Lab 2: Manage Customers, Activities and Reporting Views — build a personal view with Advanced Find, create a chart and a dashboard, and export a dynamic Excel worksheet</w:t>
            </w:r>
          </w:p>
        </w:tc>
        <w:tc>
          <w:tcPr>
            <w:tcW w:type="dxa" w:w="1296"/>
          </w:tcPr>
          <w:p>
            <w:r/>
            <w:r>
              <w:rPr>
                <w:rFonts w:ascii="Arial" w:hAnsi="Arial"/>
                <w:b w:val="0"/>
                <w:sz w:val="18"/>
              </w:rPr>
              <w:t>slides 38+</w:t>
            </w:r>
          </w:p>
        </w:tc>
      </w:tr>
      <w:tr>
        <w:tc>
          <w:tcPr>
            <w:tcW w:type="dxa" w:w="1368"/>
            <w:shd w:val="clear" w:color="auto" w:fill="E8F0FE"/>
          </w:tcPr>
          <w:p>
            <w:r/>
            <w:r>
              <w:rPr>
                <w:rFonts w:ascii="Arial" w:hAnsi="Arial"/>
                <w:b/>
                <w:sz w:val="19"/>
              </w:rPr>
              <w:t>15:30–16:15</w:t>
            </w:r>
          </w:p>
        </w:tc>
        <w:tc>
          <w:tcPr>
            <w:tcW w:type="dxa" w:w="1008"/>
            <w:shd w:val="clear" w:color="auto" w:fill="E8F0FE"/>
          </w:tcPr>
          <w:p>
            <w:r/>
            <w:r>
              <w:rPr>
                <w:rFonts w:ascii="Arial" w:hAnsi="Arial"/>
                <w:b w:val="0"/>
                <w:sz w:val="19"/>
              </w:rPr>
              <w:t>45 min</w:t>
            </w:r>
          </w:p>
        </w:tc>
        <w:tc>
          <w:tcPr>
            <w:tcW w:type="dxa" w:w="6120"/>
            <w:shd w:val="clear" w:color="auto" w:fill="E8F0FE"/>
          </w:tcPr>
          <w:p>
            <w:r/>
            <w:r>
              <w:rPr>
                <w:rFonts w:ascii="Arial" w:hAnsi="Arial"/>
                <w:b/>
                <w:sz w:val="19"/>
              </w:rPr>
              <w:t>Topic 3 — Dynamics 365 Customer Insights – Journeys: marketing use cases; real-time versus outbound marketing; the email designer; segments and marketing lists; the customer journey canvas and its tiles; triggers; lead generation; marketing forms and event management</w:t>
            </w:r>
          </w:p>
        </w:tc>
        <w:tc>
          <w:tcPr>
            <w:tcW w:type="dxa" w:w="1296"/>
            <w:shd w:val="clear" w:color="auto" w:fill="E8F0FE"/>
          </w:tcPr>
          <w:p>
            <w:r/>
            <w:r>
              <w:rPr>
                <w:rFonts w:ascii="Arial" w:hAnsi="Arial"/>
                <w:b w:val="0"/>
                <w:sz w:val="18"/>
              </w:rPr>
              <w:t>slides 39+</w:t>
            </w:r>
          </w:p>
        </w:tc>
      </w:tr>
      <w:tr>
        <w:tc>
          <w:tcPr>
            <w:tcW w:type="dxa" w:w="1368"/>
            <w:shd w:val="clear" w:color="auto" w:fill="FFF4E5"/>
          </w:tcPr>
          <w:p>
            <w:r/>
            <w:r>
              <w:rPr>
                <w:rFonts w:ascii="Arial" w:hAnsi="Arial"/>
                <w:b w:val="0"/>
                <w:sz w:val="19"/>
              </w:rPr>
              <w:t>16:15–16:30</w:t>
            </w:r>
          </w:p>
        </w:tc>
        <w:tc>
          <w:tcPr>
            <w:tcW w:type="dxa" w:w="1008"/>
            <w:shd w:val="clear" w:color="auto" w:fill="FFF4E5"/>
          </w:tcPr>
          <w:p>
            <w:r/>
            <w:r>
              <w:rPr>
                <w:rFonts w:ascii="Arial" w:hAnsi="Arial"/>
                <w:b w:val="0"/>
                <w:sz w:val="19"/>
              </w:rPr>
              <w:t>15 min</w:t>
            </w:r>
          </w:p>
        </w:tc>
        <w:tc>
          <w:tcPr>
            <w:tcW w:type="dxa" w:w="6120"/>
            <w:shd w:val="clear" w:color="auto" w:fill="FFF4E5"/>
          </w:tcPr>
          <w:p>
            <w:r/>
            <w:r>
              <w:rPr>
                <w:rFonts w:ascii="Arial" w:hAnsi="Arial"/>
                <w:b w:val="0"/>
                <w:sz w:val="19"/>
              </w:rPr>
              <w:t>Tea break</w:t>
            </w:r>
          </w:p>
        </w:tc>
        <w:tc>
          <w:tcPr>
            <w:tcW w:type="dxa" w:w="1296"/>
            <w:shd w:val="clear" w:color="auto" w:fill="FFF4E5"/>
          </w:tcPr>
          <w:p>
            <w:r/>
            <w:r>
              <w:rPr>
                <w:rFonts w:ascii="Arial" w:hAnsi="Arial"/>
                <w:b w:val="0"/>
                <w:sz w:val="18"/>
              </w:rPr>
              <w:t>—</w:t>
            </w:r>
          </w:p>
        </w:tc>
      </w:tr>
      <w:tr>
        <w:tc>
          <w:tcPr>
            <w:tcW w:type="dxa" w:w="1368"/>
          </w:tcPr>
          <w:p>
            <w:r/>
            <w:r>
              <w:rPr>
                <w:rFonts w:ascii="Arial" w:hAnsi="Arial"/>
                <w:b w:val="0"/>
                <w:sz w:val="19"/>
              </w:rPr>
              <w:t>16:30–17:30</w:t>
            </w:r>
          </w:p>
        </w:tc>
        <w:tc>
          <w:tcPr>
            <w:tcW w:type="dxa" w:w="1008"/>
          </w:tcPr>
          <w:p>
            <w:r/>
            <w:r>
              <w:rPr>
                <w:rFonts w:ascii="Arial" w:hAnsi="Arial"/>
                <w:b w:val="0"/>
                <w:sz w:val="19"/>
              </w:rPr>
              <w:t>60 min</w:t>
            </w:r>
          </w:p>
        </w:tc>
        <w:tc>
          <w:tcPr>
            <w:tcW w:type="dxa" w:w="6120"/>
          </w:tcPr>
          <w:p>
            <w:r/>
            <w:r>
              <w:rPr>
                <w:rFonts w:ascii="Arial" w:hAnsi="Arial"/>
                <w:b w:val="0"/>
                <w:sz w:val="19"/>
              </w:rPr>
              <w:t>Hands-on: Lab 3: Build a Segment, an Email and a Customer Journey — build the audience segment, design and personalise the marketing email, wire the journey with a trigger and a branch, and create the marketing form and the event</w:t>
            </w:r>
          </w:p>
        </w:tc>
        <w:tc>
          <w:tcPr>
            <w:tcW w:type="dxa" w:w="1296"/>
          </w:tcPr>
          <w:p>
            <w:r/>
            <w:r>
              <w:rPr>
                <w:rFonts w:ascii="Arial" w:hAnsi="Arial"/>
                <w:b w:val="0"/>
                <w:sz w:val="18"/>
              </w:rPr>
              <w:t>slides 48+</w:t>
            </w:r>
          </w:p>
        </w:tc>
      </w:tr>
      <w:tr>
        <w:tc>
          <w:tcPr>
            <w:tcW w:type="dxa" w:w="1368"/>
            <w:shd w:val="clear" w:color="auto" w:fill="E8F0FE"/>
          </w:tcPr>
          <w:p>
            <w:r/>
            <w:r>
              <w:rPr>
                <w:rFonts w:ascii="Arial" w:hAnsi="Arial"/>
                <w:b/>
                <w:sz w:val="19"/>
              </w:rPr>
              <w:t>17:30–18:00</w:t>
            </w:r>
          </w:p>
        </w:tc>
        <w:tc>
          <w:tcPr>
            <w:tcW w:type="dxa" w:w="1008"/>
            <w:shd w:val="clear" w:color="auto" w:fill="E8F0FE"/>
          </w:tcPr>
          <w:p>
            <w:r/>
            <w:r>
              <w:rPr>
                <w:rFonts w:ascii="Arial" w:hAnsi="Arial"/>
                <w:b w:val="0"/>
                <w:sz w:val="19"/>
              </w:rPr>
              <w:t>30 min</w:t>
            </w:r>
          </w:p>
        </w:tc>
        <w:tc>
          <w:tcPr>
            <w:tcW w:type="dxa" w:w="6120"/>
            <w:shd w:val="clear" w:color="auto" w:fill="E8F0FE"/>
          </w:tcPr>
          <w:p>
            <w:r/>
            <w:r>
              <w:rPr>
                <w:rFonts w:ascii="Arial" w:hAnsi="Arial"/>
                <w:b/>
                <w:sz w:val="19"/>
              </w:rPr>
              <w:t>Topic 4 — Customer Insights – Data and Customer Voice: the unification pipeline (ingest, map, match, merge); activities and relationships; enrichment; measures; segments; Customer Voice enterprise feedback management and survey best practice</w:t>
            </w:r>
          </w:p>
        </w:tc>
        <w:tc>
          <w:tcPr>
            <w:tcW w:type="dxa" w:w="1296"/>
            <w:shd w:val="clear" w:color="auto" w:fill="E8F0FE"/>
          </w:tcPr>
          <w:p>
            <w:r/>
            <w:r>
              <w:rPr>
                <w:rFonts w:ascii="Arial" w:hAnsi="Arial"/>
                <w:b w:val="0"/>
                <w:sz w:val="18"/>
              </w:rPr>
              <w:t>slides 49+</w:t>
            </w:r>
          </w:p>
        </w:tc>
      </w:tr>
      <w:tr>
        <w:tc>
          <w:tcPr>
            <w:tcW w:type="dxa" w:w="1368"/>
          </w:tcPr>
          <w:p>
            <w:r/>
            <w:r>
              <w:rPr>
                <w:rFonts w:ascii="Arial" w:hAnsi="Arial"/>
                <w:b w:val="0"/>
                <w:sz w:val="19"/>
              </w:rPr>
              <w:t>18:00–18:30</w:t>
            </w:r>
          </w:p>
        </w:tc>
        <w:tc>
          <w:tcPr>
            <w:tcW w:type="dxa" w:w="1008"/>
          </w:tcPr>
          <w:p>
            <w:r/>
            <w:r>
              <w:rPr>
                <w:rFonts w:ascii="Arial" w:hAnsi="Arial"/>
                <w:b w:val="0"/>
                <w:sz w:val="19"/>
              </w:rPr>
              <w:t>30 min</w:t>
            </w:r>
          </w:p>
        </w:tc>
        <w:tc>
          <w:tcPr>
            <w:tcW w:type="dxa" w:w="6120"/>
          </w:tcPr>
          <w:p>
            <w:r/>
            <w:r>
              <w:rPr>
                <w:rFonts w:ascii="Arial" w:hAnsi="Arial"/>
                <w:b w:val="0"/>
                <w:sz w:val="19"/>
              </w:rPr>
              <w:t>Hands-on: Lab 4: Unify Customer Data and Capture Feedback with Customer Voice — unify three data sources into one customer profile, define a lifetime-value measure and a high-value segment, and build and analyse a Customer Voice survey. Day 1 recap and Q&amp;A</w:t>
            </w:r>
          </w:p>
        </w:tc>
        <w:tc>
          <w:tcPr>
            <w:tcW w:type="dxa" w:w="1296"/>
          </w:tcPr>
          <w:p>
            <w:r/>
            <w:r>
              <w:rPr>
                <w:rFonts w:ascii="Arial" w:hAnsi="Arial"/>
                <w:b w:val="0"/>
                <w:sz w:val="18"/>
              </w:rPr>
              <w:t>slides 56+</w:t>
            </w:r>
          </w:p>
        </w:tc>
      </w:tr>
    </w:tbl>
    <w:p>
      <w:r>
        <w:rPr>
          <w:i/>
          <w:color w:val="555B66"/>
          <w:sz w:val="19"/>
        </w:rPr>
        <w:t>Total instructional time: 480 minutes (8 hours).</w:t>
      </w:r>
    </w:p>
    <w:p>
      <w:pPr>
        <w:pStyle w:val="Heading2"/>
      </w:pPr>
      <w:r>
        <w:t>Day 2 — Sales, Customer Service and Field Service — and the final assessment</w:t>
      </w:r>
    </w:p>
    <w:tbl>
      <w:tblPr>
        <w:tblStyle w:val="TableGrid"/>
        <w:tblW w:type="auto" w:w="0"/>
        <w:jc w:val="center"/>
        <w:tblLook w:firstColumn="1" w:firstRow="1" w:lastColumn="0" w:lastRow="0" w:noHBand="0" w:noVBand="1" w:val="04A0"/>
        <w:tblLayout w:type="fixed"/>
      </w:tblPr>
      <w:tblGrid>
        <w:gridCol w:w="1368"/>
        <w:gridCol w:w="1007"/>
        <w:gridCol w:w="6120"/>
        <w:gridCol w:w="1296"/>
      </w:tblGrid>
      <w:tr>
        <w:tc>
          <w:tcPr>
            <w:tcW w:type="dxa" w:w="1368"/>
            <w:shd w:val="clear" w:color="auto" w:fill="1F6FEB"/>
          </w:tcPr>
          <w:p>
            <w:r/>
            <w:r>
              <w:rPr>
                <w:rFonts w:ascii="Arial" w:hAnsi="Arial"/>
                <w:b/>
                <w:color w:val="FFFFFF"/>
                <w:sz w:val="20"/>
              </w:rPr>
              <w:t>Time</w:t>
            </w:r>
          </w:p>
        </w:tc>
        <w:tc>
          <w:tcPr>
            <w:tcW w:type="dxa" w:w="1008"/>
            <w:shd w:val="clear" w:color="auto" w:fill="1F6FEB"/>
          </w:tcPr>
          <w:p>
            <w:r/>
            <w:r>
              <w:rPr>
                <w:rFonts w:ascii="Arial" w:hAnsi="Arial"/>
                <w:b/>
                <w:color w:val="FFFFFF"/>
                <w:sz w:val="20"/>
              </w:rPr>
              <w:t>Duration</w:t>
            </w:r>
          </w:p>
        </w:tc>
        <w:tc>
          <w:tcPr>
            <w:tcW w:type="dxa" w:w="6120"/>
            <w:shd w:val="clear" w:color="auto" w:fill="1F6FEB"/>
          </w:tcPr>
          <w:p>
            <w:r/>
            <w:r>
              <w:rPr>
                <w:rFonts w:ascii="Arial" w:hAnsi="Arial"/>
                <w:b/>
                <w:color w:val="FFFFFF"/>
                <w:sz w:val="20"/>
              </w:rPr>
              <w:t>Topic / Activity</w:t>
            </w:r>
          </w:p>
        </w:tc>
        <w:tc>
          <w:tcPr>
            <w:tcW w:type="dxa" w:w="1296"/>
            <w:shd w:val="clear" w:color="auto" w:fill="1F6FEB"/>
          </w:tcPr>
          <w:p>
            <w:r/>
            <w:r>
              <w:rPr>
                <w:rFonts w:ascii="Arial" w:hAnsi="Arial"/>
                <w:b/>
                <w:color w:val="FFFFFF"/>
                <w:sz w:val="20"/>
              </w:rPr>
              <w:t>Slides</w:t>
            </w:r>
          </w:p>
        </w:tc>
      </w:tr>
      <w:tr>
        <w:tc>
          <w:tcPr>
            <w:tcW w:type="dxa" w:w="1368"/>
            <w:shd w:val="clear" w:color="auto" w:fill="F3F5F8"/>
          </w:tcPr>
          <w:p>
            <w:r/>
            <w:r>
              <w:rPr>
                <w:rFonts w:ascii="Arial" w:hAnsi="Arial"/>
                <w:b w:val="0"/>
                <w:sz w:val="19"/>
              </w:rPr>
              <w:t>9:30–9:45</w:t>
            </w:r>
          </w:p>
        </w:tc>
        <w:tc>
          <w:tcPr>
            <w:tcW w:type="dxa" w:w="1008"/>
            <w:shd w:val="clear" w:color="auto" w:fill="F3F5F8"/>
          </w:tcPr>
          <w:p>
            <w:r/>
            <w:r>
              <w:rPr>
                <w:rFonts w:ascii="Arial" w:hAnsi="Arial"/>
                <w:b w:val="0"/>
                <w:sz w:val="19"/>
              </w:rPr>
              <w:t>15 min</w:t>
            </w:r>
          </w:p>
        </w:tc>
        <w:tc>
          <w:tcPr>
            <w:tcW w:type="dxa" w:w="6120"/>
            <w:shd w:val="clear" w:color="auto" w:fill="F3F5F8"/>
          </w:tcPr>
          <w:p>
            <w:r/>
            <w:r>
              <w:rPr>
                <w:rFonts w:ascii="Arial" w:hAnsi="Arial"/>
                <w:b w:val="0"/>
                <w:sz w:val="19"/>
              </w:rPr>
              <w:t>Day 1 recap and Q&amp;A; mandatory AM digital attendance (TRAQOM)</w:t>
            </w:r>
          </w:p>
        </w:tc>
        <w:tc>
          <w:tcPr>
            <w:tcW w:type="dxa" w:w="1296"/>
            <w:shd w:val="clear" w:color="auto" w:fill="F3F5F8"/>
          </w:tcPr>
          <w:p>
            <w:r/>
            <w:r>
              <w:rPr>
                <w:rFonts w:ascii="Arial" w:hAnsi="Arial"/>
                <w:b w:val="0"/>
                <w:sz w:val="18"/>
              </w:rPr>
              <w:t>slides 2+</w:t>
            </w:r>
          </w:p>
        </w:tc>
      </w:tr>
      <w:tr>
        <w:tc>
          <w:tcPr>
            <w:tcW w:type="dxa" w:w="1368"/>
            <w:shd w:val="clear" w:color="auto" w:fill="E8F0FE"/>
          </w:tcPr>
          <w:p>
            <w:r/>
            <w:r>
              <w:rPr>
                <w:rFonts w:ascii="Arial" w:hAnsi="Arial"/>
                <w:b/>
                <w:sz w:val="19"/>
              </w:rPr>
              <w:t>9:45–10:45</w:t>
            </w:r>
          </w:p>
        </w:tc>
        <w:tc>
          <w:tcPr>
            <w:tcW w:type="dxa" w:w="1008"/>
            <w:shd w:val="clear" w:color="auto" w:fill="E8F0FE"/>
          </w:tcPr>
          <w:p>
            <w:r/>
            <w:r>
              <w:rPr>
                <w:rFonts w:ascii="Arial" w:hAnsi="Arial"/>
                <w:b w:val="0"/>
                <w:sz w:val="19"/>
              </w:rPr>
              <w:t>60 min</w:t>
            </w:r>
          </w:p>
        </w:tc>
        <w:tc>
          <w:tcPr>
            <w:tcW w:type="dxa" w:w="6120"/>
            <w:shd w:val="clear" w:color="auto" w:fill="E8F0FE"/>
          </w:tcPr>
          <w:p>
            <w:r/>
            <w:r>
              <w:rPr>
                <w:rFonts w:ascii="Arial" w:hAnsi="Arial"/>
                <w:b/>
                <w:sz w:val="19"/>
              </w:rPr>
              <w:t>Topic 5 — Explore Dynamics 365 Sales: sales use cases; the five-stage sales lifecycle; leads versus opportunities and the qualification process; opportunity management; quotes, orders and invoices; business process flows; the sales accelerator and sequences</w:t>
            </w:r>
          </w:p>
        </w:tc>
        <w:tc>
          <w:tcPr>
            <w:tcW w:type="dxa" w:w="1296"/>
            <w:shd w:val="clear" w:color="auto" w:fill="E8F0FE"/>
          </w:tcPr>
          <w:p>
            <w:r/>
            <w:r>
              <w:rPr>
                <w:rFonts w:ascii="Arial" w:hAnsi="Arial"/>
                <w:b w:val="0"/>
                <w:sz w:val="18"/>
              </w:rPr>
              <w:t>slides 59+</w:t>
            </w:r>
          </w:p>
        </w:tc>
      </w:tr>
      <w:tr>
        <w:tc>
          <w:tcPr>
            <w:tcW w:type="dxa" w:w="1368"/>
            <w:shd w:val="clear" w:color="auto" w:fill="FFF4E5"/>
          </w:tcPr>
          <w:p>
            <w:r/>
            <w:r>
              <w:rPr>
                <w:rFonts w:ascii="Arial" w:hAnsi="Arial"/>
                <w:b w:val="0"/>
                <w:sz w:val="19"/>
              </w:rPr>
              <w:t>10:45–11:00</w:t>
            </w:r>
          </w:p>
        </w:tc>
        <w:tc>
          <w:tcPr>
            <w:tcW w:type="dxa" w:w="1008"/>
            <w:shd w:val="clear" w:color="auto" w:fill="FFF4E5"/>
          </w:tcPr>
          <w:p>
            <w:r/>
            <w:r>
              <w:rPr>
                <w:rFonts w:ascii="Arial" w:hAnsi="Arial"/>
                <w:b w:val="0"/>
                <w:sz w:val="19"/>
              </w:rPr>
              <w:t>15 min</w:t>
            </w:r>
          </w:p>
        </w:tc>
        <w:tc>
          <w:tcPr>
            <w:tcW w:type="dxa" w:w="6120"/>
            <w:shd w:val="clear" w:color="auto" w:fill="FFF4E5"/>
          </w:tcPr>
          <w:p>
            <w:r/>
            <w:r>
              <w:rPr>
                <w:rFonts w:ascii="Arial" w:hAnsi="Arial"/>
                <w:b w:val="0"/>
                <w:sz w:val="19"/>
              </w:rPr>
              <w:t>Tea break</w:t>
            </w:r>
          </w:p>
        </w:tc>
        <w:tc>
          <w:tcPr>
            <w:tcW w:type="dxa" w:w="1296"/>
            <w:shd w:val="clear" w:color="auto" w:fill="FFF4E5"/>
          </w:tcPr>
          <w:p>
            <w:r/>
            <w:r>
              <w:rPr>
                <w:rFonts w:ascii="Arial" w:hAnsi="Arial"/>
                <w:b w:val="0"/>
                <w:sz w:val="18"/>
              </w:rPr>
              <w:t>—</w:t>
            </w:r>
          </w:p>
        </w:tc>
      </w:tr>
      <w:tr>
        <w:tc>
          <w:tcPr>
            <w:tcW w:type="dxa" w:w="1368"/>
          </w:tcPr>
          <w:p>
            <w:r/>
            <w:r>
              <w:rPr>
                <w:rFonts w:ascii="Arial" w:hAnsi="Arial"/>
                <w:b w:val="0"/>
                <w:sz w:val="19"/>
              </w:rPr>
              <w:t>11:00–12:00</w:t>
            </w:r>
          </w:p>
        </w:tc>
        <w:tc>
          <w:tcPr>
            <w:tcW w:type="dxa" w:w="1008"/>
          </w:tcPr>
          <w:p>
            <w:r/>
            <w:r>
              <w:rPr>
                <w:rFonts w:ascii="Arial" w:hAnsi="Arial"/>
                <w:b w:val="0"/>
                <w:sz w:val="19"/>
              </w:rPr>
              <w:t>60 min</w:t>
            </w:r>
          </w:p>
        </w:tc>
        <w:tc>
          <w:tcPr>
            <w:tcW w:type="dxa" w:w="6120"/>
          </w:tcPr>
          <w:p>
            <w:r/>
            <w:r>
              <w:rPr>
                <w:rFonts w:ascii="Arial" w:hAnsi="Arial"/>
                <w:b w:val="0"/>
                <w:sz w:val="19"/>
              </w:rPr>
              <w:t>Hands-on: Lab 5: Run the Lead-to-Cash Cycle: Lead, Opportunity, Quote, Order — capture the lead, work the Lead to Opportunity business process flow, qualify into an opportunity, add catalog products, then create, activate and win the quote and generate the order and invoice</w:t>
            </w:r>
          </w:p>
        </w:tc>
        <w:tc>
          <w:tcPr>
            <w:tcW w:type="dxa" w:w="1296"/>
          </w:tcPr>
          <w:p>
            <w:r/>
            <w:r>
              <w:rPr>
                <w:rFonts w:ascii="Arial" w:hAnsi="Arial"/>
                <w:b w:val="0"/>
                <w:sz w:val="18"/>
              </w:rPr>
              <w:t>slides 67+</w:t>
            </w:r>
          </w:p>
        </w:tc>
      </w:tr>
      <w:tr>
        <w:tc>
          <w:tcPr>
            <w:tcW w:type="dxa" w:w="1368"/>
            <w:shd w:val="clear" w:color="auto" w:fill="E8F0FE"/>
          </w:tcPr>
          <w:p>
            <w:r/>
            <w:r>
              <w:rPr>
                <w:rFonts w:ascii="Arial" w:hAnsi="Arial"/>
                <w:b/>
                <w:sz w:val="19"/>
              </w:rPr>
              <w:t>12:00–12:30</w:t>
            </w:r>
          </w:p>
        </w:tc>
        <w:tc>
          <w:tcPr>
            <w:tcW w:type="dxa" w:w="1008"/>
            <w:shd w:val="clear" w:color="auto" w:fill="E8F0FE"/>
          </w:tcPr>
          <w:p>
            <w:r/>
            <w:r>
              <w:rPr>
                <w:rFonts w:ascii="Arial" w:hAnsi="Arial"/>
                <w:b w:val="0"/>
                <w:sz w:val="19"/>
              </w:rPr>
              <w:t>30 min</w:t>
            </w:r>
          </w:p>
        </w:tc>
        <w:tc>
          <w:tcPr>
            <w:tcW w:type="dxa" w:w="6120"/>
            <w:shd w:val="clear" w:color="auto" w:fill="E8F0FE"/>
          </w:tcPr>
          <w:p>
            <w:r/>
            <w:r>
              <w:rPr>
                <w:rFonts w:ascii="Arial" w:hAnsi="Arial"/>
                <w:b/>
                <w:sz w:val="19"/>
              </w:rPr>
              <w:t>Topic 6 — Dynamics 365 Sales capabilities and related apps: the pipeline chart and sales forecasting; Sales Insights standard versus premium; LinkedIn Sales Navigator; the Sales mobile app; Microsoft 365 Copilot for Sales</w:t>
            </w:r>
          </w:p>
        </w:tc>
        <w:tc>
          <w:tcPr>
            <w:tcW w:type="dxa" w:w="1296"/>
            <w:shd w:val="clear" w:color="auto" w:fill="E8F0FE"/>
          </w:tcPr>
          <w:p>
            <w:r/>
            <w:r>
              <w:rPr>
                <w:rFonts w:ascii="Arial" w:hAnsi="Arial"/>
                <w:b w:val="0"/>
                <w:sz w:val="18"/>
              </w:rPr>
              <w:t>slides 68+</w:t>
            </w:r>
          </w:p>
        </w:tc>
      </w:tr>
      <w:tr>
        <w:tc>
          <w:tcPr>
            <w:tcW w:type="dxa" w:w="1368"/>
          </w:tcPr>
          <w:p>
            <w:r/>
            <w:r>
              <w:rPr>
                <w:rFonts w:ascii="Arial" w:hAnsi="Arial"/>
                <w:b w:val="0"/>
                <w:sz w:val="19"/>
              </w:rPr>
              <w:t>12:30–13:15</w:t>
            </w:r>
          </w:p>
        </w:tc>
        <w:tc>
          <w:tcPr>
            <w:tcW w:type="dxa" w:w="1008"/>
          </w:tcPr>
          <w:p>
            <w:r/>
            <w:r>
              <w:rPr>
                <w:rFonts w:ascii="Arial" w:hAnsi="Arial"/>
                <w:b w:val="0"/>
                <w:sz w:val="19"/>
              </w:rPr>
              <w:t>45 min</w:t>
            </w:r>
          </w:p>
        </w:tc>
        <w:tc>
          <w:tcPr>
            <w:tcW w:type="dxa" w:w="6120"/>
          </w:tcPr>
          <w:p>
            <w:r/>
            <w:r>
              <w:rPr>
                <w:rFonts w:ascii="Arial" w:hAnsi="Arial"/>
                <w:b w:val="0"/>
                <w:sz w:val="19"/>
              </w:rPr>
              <w:t>Hands-on: Lab 6: Forecast the Pipeline and Evaluate Sales Insights — read the pipeline chart, configure and read a forecast, apply a sequence in the sales accelerator, complete the standard-versus-premium comparison and write the investment recommendation</w:t>
            </w:r>
          </w:p>
        </w:tc>
        <w:tc>
          <w:tcPr>
            <w:tcW w:type="dxa" w:w="1296"/>
          </w:tcPr>
          <w:p>
            <w:r/>
            <w:r>
              <w:rPr>
                <w:rFonts w:ascii="Arial" w:hAnsi="Arial"/>
                <w:b w:val="0"/>
                <w:sz w:val="18"/>
              </w:rPr>
              <w:t>slides 75+</w:t>
            </w:r>
          </w:p>
        </w:tc>
      </w:tr>
      <w:tr>
        <w:tc>
          <w:tcPr>
            <w:tcW w:type="dxa" w:w="1368"/>
            <w:shd w:val="clear" w:color="auto" w:fill="E8F0FE"/>
          </w:tcPr>
          <w:p>
            <w:r/>
            <w:r>
              <w:rPr>
                <w:rFonts w:ascii="Arial" w:hAnsi="Arial"/>
                <w:b/>
                <w:sz w:val="19"/>
              </w:rPr>
              <w:t>13:15–13:30</w:t>
            </w:r>
          </w:p>
        </w:tc>
        <w:tc>
          <w:tcPr>
            <w:tcW w:type="dxa" w:w="1008"/>
            <w:shd w:val="clear" w:color="auto" w:fill="E8F0FE"/>
          </w:tcPr>
          <w:p>
            <w:r/>
            <w:r>
              <w:rPr>
                <w:rFonts w:ascii="Arial" w:hAnsi="Arial"/>
                <w:b w:val="0"/>
                <w:sz w:val="19"/>
              </w:rPr>
              <w:t>15 min</w:t>
            </w:r>
          </w:p>
        </w:tc>
        <w:tc>
          <w:tcPr>
            <w:tcW w:type="dxa" w:w="6120"/>
            <w:shd w:val="clear" w:color="auto" w:fill="E8F0FE"/>
          </w:tcPr>
          <w:p>
            <w:r/>
            <w:r>
              <w:rPr>
                <w:rFonts w:ascii="Arial" w:hAnsi="Arial"/>
                <w:b/>
                <w:sz w:val="19"/>
              </w:rPr>
              <w:t>Topic 7 (start) — Explore Dynamics 365 Customer Service: service use cases and where Customer Service is used</w:t>
            </w:r>
          </w:p>
        </w:tc>
        <w:tc>
          <w:tcPr>
            <w:tcW w:type="dxa" w:w="1296"/>
            <w:shd w:val="clear" w:color="auto" w:fill="E8F0FE"/>
          </w:tcPr>
          <w:p>
            <w:r/>
            <w:r>
              <w:rPr>
                <w:rFonts w:ascii="Arial" w:hAnsi="Arial"/>
                <w:b w:val="0"/>
                <w:sz w:val="18"/>
              </w:rPr>
              <w:t>slides 76+</w:t>
            </w:r>
          </w:p>
        </w:tc>
      </w:tr>
      <w:tr>
        <w:tc>
          <w:tcPr>
            <w:tcW w:type="dxa" w:w="1368"/>
            <w:shd w:val="clear" w:color="auto" w:fill="FDE9D9"/>
          </w:tcPr>
          <w:p>
            <w:r/>
            <w:r>
              <w:rPr>
                <w:rFonts w:ascii="Arial" w:hAnsi="Arial"/>
                <w:b w:val="0"/>
                <w:sz w:val="19"/>
              </w:rPr>
              <w:t>13:30–14:30</w:t>
            </w:r>
          </w:p>
        </w:tc>
        <w:tc>
          <w:tcPr>
            <w:tcW w:type="dxa" w:w="1008"/>
            <w:shd w:val="clear" w:color="auto" w:fill="FDE9D9"/>
          </w:tcPr>
          <w:p>
            <w:r/>
            <w:r>
              <w:rPr>
                <w:rFonts w:ascii="Arial" w:hAnsi="Arial"/>
                <w:b w:val="0"/>
                <w:sz w:val="19"/>
              </w:rPr>
              <w:t>60 min</w:t>
            </w:r>
          </w:p>
        </w:tc>
        <w:tc>
          <w:tcPr>
            <w:tcW w:type="dxa" w:w="6120"/>
            <w:shd w:val="clear" w:color="auto" w:fill="FDE9D9"/>
          </w:tcPr>
          <w:p>
            <w:r/>
            <w:r>
              <w:rPr>
                <w:rFonts w:ascii="Arial" w:hAnsi="Arial"/>
                <w:b w:val="0"/>
                <w:sz w:val="19"/>
              </w:rPr>
              <w:t>Lunch break</w:t>
            </w:r>
          </w:p>
        </w:tc>
        <w:tc>
          <w:tcPr>
            <w:tcW w:type="dxa" w:w="1296"/>
            <w:shd w:val="clear" w:color="auto" w:fill="FDE9D9"/>
          </w:tcPr>
          <w:p>
            <w:r/>
            <w:r>
              <w:rPr>
                <w:rFonts w:ascii="Arial" w:hAnsi="Arial"/>
                <w:b w:val="0"/>
                <w:sz w:val="18"/>
              </w:rPr>
              <w:t>—</w:t>
            </w:r>
          </w:p>
        </w:tc>
      </w:tr>
      <w:tr>
        <w:tc>
          <w:tcPr>
            <w:tcW w:type="dxa" w:w="1368"/>
            <w:shd w:val="clear" w:color="auto" w:fill="E8F0FE"/>
          </w:tcPr>
          <w:p>
            <w:r/>
            <w:r>
              <w:rPr>
                <w:rFonts w:ascii="Arial" w:hAnsi="Arial"/>
                <w:b/>
                <w:sz w:val="19"/>
              </w:rPr>
              <w:t>14:30–15:15</w:t>
            </w:r>
          </w:p>
        </w:tc>
        <w:tc>
          <w:tcPr>
            <w:tcW w:type="dxa" w:w="1008"/>
            <w:shd w:val="clear" w:color="auto" w:fill="E8F0FE"/>
          </w:tcPr>
          <w:p>
            <w:r/>
            <w:r>
              <w:rPr>
                <w:rFonts w:ascii="Arial" w:hAnsi="Arial"/>
                <w:b w:val="0"/>
                <w:sz w:val="19"/>
              </w:rPr>
              <w:t>45 min</w:t>
            </w:r>
          </w:p>
        </w:tc>
        <w:tc>
          <w:tcPr>
            <w:tcW w:type="dxa" w:w="6120"/>
            <w:shd w:val="clear" w:color="auto" w:fill="E8F0FE"/>
          </w:tcPr>
          <w:p>
            <w:r/>
            <w:r>
              <w:rPr>
                <w:rFonts w:ascii="Arial" w:hAnsi="Arial"/>
                <w:b/>
                <w:sz w:val="19"/>
              </w:rPr>
              <w:t>Topic 7 (continued) — the case lifecycle and the Phone to Case business process flow; SLAs and entitlements; how cases are created; queues, basic routing and unified routing; knowledge management. PM digital attendance</w:t>
            </w:r>
          </w:p>
        </w:tc>
        <w:tc>
          <w:tcPr>
            <w:tcW w:type="dxa" w:w="1296"/>
            <w:shd w:val="clear" w:color="auto" w:fill="E8F0FE"/>
          </w:tcPr>
          <w:p>
            <w:r/>
            <w:r>
              <w:rPr>
                <w:rFonts w:ascii="Arial" w:hAnsi="Arial"/>
                <w:b w:val="0"/>
                <w:sz w:val="18"/>
              </w:rPr>
              <w:t>slides 76+</w:t>
            </w:r>
          </w:p>
        </w:tc>
      </w:tr>
      <w:tr>
        <w:tc>
          <w:tcPr>
            <w:tcW w:type="dxa" w:w="1368"/>
          </w:tcPr>
          <w:p>
            <w:r/>
            <w:r>
              <w:rPr>
                <w:rFonts w:ascii="Arial" w:hAnsi="Arial"/>
                <w:b w:val="0"/>
                <w:sz w:val="19"/>
              </w:rPr>
              <w:t>15:15–16:15</w:t>
            </w:r>
          </w:p>
        </w:tc>
        <w:tc>
          <w:tcPr>
            <w:tcW w:type="dxa" w:w="1008"/>
          </w:tcPr>
          <w:p>
            <w:r/>
            <w:r>
              <w:rPr>
                <w:rFonts w:ascii="Arial" w:hAnsi="Arial"/>
                <w:b w:val="0"/>
                <w:sz w:val="19"/>
              </w:rPr>
              <w:t>60 min</w:t>
            </w:r>
          </w:p>
        </w:tc>
        <w:tc>
          <w:tcPr>
            <w:tcW w:type="dxa" w:w="6120"/>
          </w:tcPr>
          <w:p>
            <w:r/>
            <w:r>
              <w:rPr>
                <w:rFonts w:ascii="Arial" w:hAnsi="Arial"/>
                <w:b w:val="0"/>
                <w:sz w:val="19"/>
              </w:rPr>
              <w:t>Hands-on: Lab 7: Resolve a Case with Knowledge, Queues, SLAs and Entitlements — author and publish the knowledge article, create and route the case, apply the SLA and entitlement, work the business process flow, link the article and resolve the case</w:t>
            </w:r>
          </w:p>
        </w:tc>
        <w:tc>
          <w:tcPr>
            <w:tcW w:type="dxa" w:w="1296"/>
          </w:tcPr>
          <w:p>
            <w:r/>
            <w:r>
              <w:rPr>
                <w:rFonts w:ascii="Arial" w:hAnsi="Arial"/>
                <w:b w:val="0"/>
                <w:sz w:val="18"/>
              </w:rPr>
              <w:t>slides 84+</w:t>
            </w:r>
          </w:p>
        </w:tc>
      </w:tr>
      <w:tr>
        <w:tc>
          <w:tcPr>
            <w:tcW w:type="dxa" w:w="1368"/>
            <w:shd w:val="clear" w:color="auto" w:fill="FFF4E5"/>
          </w:tcPr>
          <w:p>
            <w:r/>
            <w:r>
              <w:rPr>
                <w:rFonts w:ascii="Arial" w:hAnsi="Arial"/>
                <w:b w:val="0"/>
                <w:sz w:val="19"/>
              </w:rPr>
              <w:t>16:15–16:30</w:t>
            </w:r>
          </w:p>
        </w:tc>
        <w:tc>
          <w:tcPr>
            <w:tcW w:type="dxa" w:w="1008"/>
            <w:shd w:val="clear" w:color="auto" w:fill="FFF4E5"/>
          </w:tcPr>
          <w:p>
            <w:r/>
            <w:r>
              <w:rPr>
                <w:rFonts w:ascii="Arial" w:hAnsi="Arial"/>
                <w:b w:val="0"/>
                <w:sz w:val="19"/>
              </w:rPr>
              <w:t>15 min</w:t>
            </w:r>
          </w:p>
        </w:tc>
        <w:tc>
          <w:tcPr>
            <w:tcW w:type="dxa" w:w="6120"/>
            <w:shd w:val="clear" w:color="auto" w:fill="FFF4E5"/>
          </w:tcPr>
          <w:p>
            <w:r/>
            <w:r>
              <w:rPr>
                <w:rFonts w:ascii="Arial" w:hAnsi="Arial"/>
                <w:b w:val="0"/>
                <w:sz w:val="19"/>
              </w:rPr>
              <w:t>Tea break</w:t>
            </w:r>
          </w:p>
        </w:tc>
        <w:tc>
          <w:tcPr>
            <w:tcW w:type="dxa" w:w="1296"/>
            <w:shd w:val="clear" w:color="auto" w:fill="FFF4E5"/>
          </w:tcPr>
          <w:p>
            <w:r/>
            <w:r>
              <w:rPr>
                <w:rFonts w:ascii="Arial" w:hAnsi="Arial"/>
                <w:b w:val="0"/>
                <w:sz w:val="18"/>
              </w:rPr>
              <w:t>—</w:t>
            </w:r>
          </w:p>
        </w:tc>
      </w:tr>
      <w:tr>
        <w:tc>
          <w:tcPr>
            <w:tcW w:type="dxa" w:w="1368"/>
            <w:shd w:val="clear" w:color="auto" w:fill="E8F0FE"/>
          </w:tcPr>
          <w:p>
            <w:r/>
            <w:r>
              <w:rPr>
                <w:rFonts w:ascii="Arial" w:hAnsi="Arial"/>
                <w:b/>
                <w:sz w:val="19"/>
              </w:rPr>
              <w:t>16:30–17:00</w:t>
            </w:r>
          </w:p>
        </w:tc>
        <w:tc>
          <w:tcPr>
            <w:tcW w:type="dxa" w:w="1008"/>
            <w:shd w:val="clear" w:color="auto" w:fill="E8F0FE"/>
          </w:tcPr>
          <w:p>
            <w:r/>
            <w:r>
              <w:rPr>
                <w:rFonts w:ascii="Arial" w:hAnsi="Arial"/>
                <w:b w:val="0"/>
                <w:sz w:val="19"/>
              </w:rPr>
              <w:t>30 min</w:t>
            </w:r>
          </w:p>
        </w:tc>
        <w:tc>
          <w:tcPr>
            <w:tcW w:type="dxa" w:w="6120"/>
            <w:shd w:val="clear" w:color="auto" w:fill="E8F0FE"/>
          </w:tcPr>
          <w:p>
            <w:r/>
            <w:r>
              <w:rPr>
                <w:rFonts w:ascii="Arial" w:hAnsi="Arial"/>
                <w:b/>
                <w:sz w:val="19"/>
              </w:rPr>
              <w:t>Topic 8 — Customer Service capabilities and related apps: Omnichannel channels and the agent workspace; bots and escalation; supervisor experiences and Omnichannel Insights; sentiment analysis; historical analytics reports; Customer Voice for service. Topic 9 — Explore Dynamics 365 Field Service: field service use cases; the work order and its lifecycle; inspections; the Field Service mobile app. Topic 10 — Field Service scheduling capabilities and related apps: the five scheduling questions; the schedule board and schedule assistant; dispatcher moves; customer assets; Connected Field Service and IoT</w:t>
            </w:r>
          </w:p>
        </w:tc>
        <w:tc>
          <w:tcPr>
            <w:tcW w:type="dxa" w:w="1296"/>
            <w:shd w:val="clear" w:color="auto" w:fill="E8F0FE"/>
          </w:tcPr>
          <w:p>
            <w:r/>
            <w:r>
              <w:rPr>
                <w:rFonts w:ascii="Arial" w:hAnsi="Arial"/>
                <w:b w:val="0"/>
                <w:sz w:val="18"/>
              </w:rPr>
              <w:t>slides 85+</w:t>
            </w:r>
          </w:p>
        </w:tc>
      </w:tr>
      <w:tr>
        <w:tc>
          <w:tcPr>
            <w:tcW w:type="dxa" w:w="1368"/>
          </w:tcPr>
          <w:p>
            <w:r/>
            <w:r>
              <w:rPr>
                <w:rFonts w:ascii="Arial" w:hAnsi="Arial"/>
                <w:b w:val="0"/>
                <w:sz w:val="19"/>
              </w:rPr>
              <w:t>17:00–17:30</w:t>
            </w:r>
          </w:p>
        </w:tc>
        <w:tc>
          <w:tcPr>
            <w:tcW w:type="dxa" w:w="1008"/>
          </w:tcPr>
          <w:p>
            <w:r/>
            <w:r>
              <w:rPr>
                <w:rFonts w:ascii="Arial" w:hAnsi="Arial"/>
                <w:b w:val="0"/>
                <w:sz w:val="19"/>
              </w:rPr>
              <w:t>30 min</w:t>
            </w:r>
          </w:p>
        </w:tc>
        <w:tc>
          <w:tcPr>
            <w:tcW w:type="dxa" w:w="6120"/>
          </w:tcPr>
          <w:p>
            <w:r/>
            <w:r>
              <w:rPr>
                <w:rFonts w:ascii="Arial" w:hAnsi="Arial"/>
                <w:b w:val="0"/>
                <w:sz w:val="19"/>
              </w:rPr>
              <w:t>Hands-on: Lab 8: Omnichannel, Supervisor Insights and Service Analytics; Lab 9: Create and Complete a Work Order with an Inspection; Lab 10: Schedule Resources, Manage Assets and Connect IoT — Omnichannel and supervisor analytics; create and complete a work order with an inspection; schedule resources on the schedule board, build the customer asset hierarchy and register the IoT device. Course recap</w:t>
            </w:r>
          </w:p>
        </w:tc>
        <w:tc>
          <w:tcPr>
            <w:tcW w:type="dxa" w:w="1296"/>
          </w:tcPr>
          <w:p>
            <w:r/>
            <w:r>
              <w:rPr>
                <w:rFonts w:ascii="Arial" w:hAnsi="Arial"/>
                <w:b w:val="0"/>
                <w:sz w:val="18"/>
              </w:rPr>
              <w:t>slides 91+</w:t>
            </w:r>
          </w:p>
        </w:tc>
      </w:tr>
      <w:tr>
        <w:tc>
          <w:tcPr>
            <w:tcW w:type="dxa" w:w="1368"/>
            <w:shd w:val="clear" w:color="auto" w:fill="E8F7EE"/>
          </w:tcPr>
          <w:p>
            <w:r/>
            <w:r>
              <w:rPr>
                <w:rFonts w:ascii="Arial" w:hAnsi="Arial"/>
                <w:b/>
                <w:sz w:val="19"/>
              </w:rPr>
              <w:t>17:30–17:40</w:t>
            </w:r>
          </w:p>
        </w:tc>
        <w:tc>
          <w:tcPr>
            <w:tcW w:type="dxa" w:w="1008"/>
            <w:shd w:val="clear" w:color="auto" w:fill="E8F7EE"/>
          </w:tcPr>
          <w:p>
            <w:r/>
            <w:r>
              <w:rPr>
                <w:rFonts w:ascii="Arial" w:hAnsi="Arial"/>
                <w:b w:val="0"/>
                <w:sz w:val="19"/>
              </w:rPr>
              <w:t>10 min</w:t>
            </w:r>
          </w:p>
        </w:tc>
        <w:tc>
          <w:tcPr>
            <w:tcW w:type="dxa" w:w="6120"/>
            <w:shd w:val="clear" w:color="auto" w:fill="E8F7EE"/>
          </w:tcPr>
          <w:p>
            <w:r/>
            <w:r>
              <w:rPr>
                <w:rFonts w:ascii="Arial" w:hAnsi="Arial"/>
                <w:b/>
                <w:sz w:val="19"/>
              </w:rPr>
              <w:t>Briefing for Assessment: assessment conditions, open-book rules, appeal process; assessment digital attendance</w:t>
            </w:r>
          </w:p>
        </w:tc>
        <w:tc>
          <w:tcPr>
            <w:tcW w:type="dxa" w:w="1296"/>
            <w:shd w:val="clear" w:color="auto" w:fill="E8F7EE"/>
          </w:tcPr>
          <w:p>
            <w:r/>
            <w:r>
              <w:rPr>
                <w:rFonts w:ascii="Arial" w:hAnsi="Arial"/>
                <w:b w:val="0"/>
                <w:sz w:val="18"/>
              </w:rPr>
              <w:t>slides 16+</w:t>
            </w:r>
          </w:p>
        </w:tc>
      </w:tr>
      <w:tr>
        <w:tc>
          <w:tcPr>
            <w:tcW w:type="dxa" w:w="1368"/>
            <w:shd w:val="clear" w:color="auto" w:fill="E8F7EE"/>
          </w:tcPr>
          <w:p>
            <w:r/>
            <w:r>
              <w:rPr>
                <w:rFonts w:ascii="Arial" w:hAnsi="Arial"/>
                <w:b/>
                <w:sz w:val="19"/>
              </w:rPr>
              <w:t>17:40–18:30</w:t>
            </w:r>
          </w:p>
        </w:tc>
        <w:tc>
          <w:tcPr>
            <w:tcW w:type="dxa" w:w="1008"/>
            <w:shd w:val="clear" w:color="auto" w:fill="E8F7EE"/>
          </w:tcPr>
          <w:p>
            <w:r/>
            <w:r>
              <w:rPr>
                <w:rFonts w:ascii="Arial" w:hAnsi="Arial"/>
                <w:b w:val="0"/>
                <w:sz w:val="19"/>
              </w:rPr>
              <w:t>50 min</w:t>
            </w:r>
          </w:p>
        </w:tc>
        <w:tc>
          <w:tcPr>
            <w:tcW w:type="dxa" w:w="6120"/>
            <w:shd w:val="clear" w:color="auto" w:fill="E8F7EE"/>
          </w:tcPr>
          <w:p>
            <w:r/>
            <w:r>
              <w:rPr>
                <w:rFonts w:ascii="Arial" w:hAnsi="Arial"/>
                <w:b/>
                <w:sz w:val="19"/>
              </w:rPr>
              <w:t>Final Assessment — Written Assessment (WA), Short-Answer Questions, open book. The Practical Performance (PP) assessment follows immediately after this session and both instruments together total 2 hours</w:t>
            </w:r>
          </w:p>
        </w:tc>
        <w:tc>
          <w:tcPr>
            <w:tcW w:type="dxa" w:w="1296"/>
            <w:shd w:val="clear" w:color="auto" w:fill="E8F7EE"/>
          </w:tcPr>
          <w:p>
            <w:r/>
            <w:r>
              <w:rPr>
                <w:rFonts w:ascii="Arial" w:hAnsi="Arial"/>
                <w:b w:val="0"/>
                <w:sz w:val="18"/>
              </w:rPr>
              <w:t>slides 115+</w:t>
            </w:r>
          </w:p>
        </w:tc>
      </w:tr>
    </w:tbl>
    <w:p>
      <w:r>
        <w:rPr>
          <w:i/>
          <w:color w:val="555B66"/>
          <w:sz w:val="19"/>
        </w:rPr>
        <w:t>Total instructional time: 480 minutes (8 hours).</w:t>
      </w:r>
    </w:p>
    <w:p>
      <w:pPr>
        <w:pStyle w:val="Heading1"/>
      </w:pPr>
      <w:r>
        <w:t>Topic and Lab Reference</w:t>
      </w:r>
    </w:p>
    <w:tbl>
      <w:tblPr>
        <w:tblStyle w:val="TableGrid"/>
        <w:tblW w:type="auto" w:w="0"/>
        <w:tblLook w:firstColumn="1" w:firstRow="1" w:lastColumn="0" w:lastRow="0" w:noHBand="0" w:noVBand="1" w:val="04A0"/>
        <w:tblLayout w:type="fixed"/>
      </w:tblPr>
      <w:tblGrid>
        <w:gridCol w:w="2951"/>
        <w:gridCol w:w="1584"/>
        <w:gridCol w:w="4104"/>
        <w:gridCol w:w="1152"/>
      </w:tblGrid>
      <w:tr>
        <w:tc>
          <w:tcPr>
            <w:tcW w:type="dxa" w:w="2952"/>
            <w:shd w:val="clear" w:color="auto" w:fill="1F6FEB"/>
          </w:tcPr>
          <w:p>
            <w:r/>
            <w:r>
              <w:rPr>
                <w:rFonts w:ascii="Arial" w:hAnsi="Arial"/>
                <w:b/>
                <w:color w:val="FFFFFF"/>
                <w:sz w:val="20"/>
              </w:rPr>
              <w:t>Topic</w:t>
            </w:r>
          </w:p>
        </w:tc>
        <w:tc>
          <w:tcPr>
            <w:tcW w:type="dxa" w:w="1584"/>
            <w:shd w:val="clear" w:color="auto" w:fill="1F6FEB"/>
          </w:tcPr>
          <w:p>
            <w:r/>
            <w:r>
              <w:rPr>
                <w:rFonts w:ascii="Arial" w:hAnsi="Arial"/>
                <w:b/>
                <w:color w:val="FFFFFF"/>
                <w:sz w:val="20"/>
              </w:rPr>
              <w:t>Learning outcomes</w:t>
            </w:r>
          </w:p>
        </w:tc>
        <w:tc>
          <w:tcPr>
            <w:tcW w:type="dxa" w:w="4104"/>
            <w:shd w:val="clear" w:color="auto" w:fill="1F6FEB"/>
          </w:tcPr>
          <w:p>
            <w:r/>
            <w:r>
              <w:rPr>
                <w:rFonts w:ascii="Arial" w:hAnsi="Arial"/>
                <w:b/>
                <w:color w:val="FFFFFF"/>
                <w:sz w:val="20"/>
              </w:rPr>
              <w:t>Hands-on lab</w:t>
            </w:r>
          </w:p>
        </w:tc>
        <w:tc>
          <w:tcPr>
            <w:tcW w:type="dxa" w:w="1152"/>
            <w:shd w:val="clear" w:color="auto" w:fill="1F6FEB"/>
          </w:tcPr>
          <w:p>
            <w:r/>
            <w:r>
              <w:rPr>
                <w:rFonts w:ascii="Arial" w:hAnsi="Arial"/>
                <w:b/>
                <w:color w:val="FFFFFF"/>
                <w:sz w:val="20"/>
              </w:rPr>
              <w:t>Duration</w:t>
            </w:r>
          </w:p>
        </w:tc>
      </w:tr>
      <w:tr>
        <w:tc>
          <w:tcPr>
            <w:tcW w:type="dxa" w:w="2952"/>
            <w:shd w:val="clear" w:color="auto" w:fill="E8F0FE"/>
          </w:tcPr>
          <w:p>
            <w:r/>
            <w:r>
              <w:rPr>
                <w:rFonts w:ascii="Arial" w:hAnsi="Arial"/>
                <w:b/>
                <w:sz w:val="19"/>
              </w:rPr>
              <w:t>Topic 01: Foundations of Dynamics 365 Customer Engagement Apps</w:t>
            </w:r>
          </w:p>
        </w:tc>
        <w:tc>
          <w:tcPr>
            <w:tcW w:type="dxa" w:w="1584"/>
            <w:shd w:val="clear" w:color="auto" w:fill="E8F0FE"/>
          </w:tcPr>
          <w:p>
            <w:r/>
            <w:r>
              <w:rPr>
                <w:rFonts w:ascii="Arial" w:hAnsi="Arial"/>
                <w:b w:val="0"/>
                <w:sz w:val="19"/>
              </w:rPr>
              <w:t>LO1 · Day 1 AM</w:t>
            </w:r>
          </w:p>
        </w:tc>
        <w:tc>
          <w:tcPr>
            <w:tcW w:type="dxa" w:w="4104"/>
          </w:tcPr>
          <w:p>
            <w:r/>
            <w:r>
              <w:rPr>
                <w:rFonts w:ascii="Arial" w:hAnsi="Arial"/>
                <w:b w:val="0"/>
                <w:sz w:val="19"/>
              </w:rPr>
              <w:t>Lab 1: Navigate Dynamics 365 and Explore Dataverse</w:t>
            </w:r>
          </w:p>
        </w:tc>
        <w:tc>
          <w:tcPr>
            <w:tcW w:type="dxa" w:w="1152"/>
          </w:tcPr>
          <w:p>
            <w:r/>
            <w:r>
              <w:rPr>
                <w:rFonts w:ascii="Arial" w:hAnsi="Arial"/>
                <w:b w:val="0"/>
                <w:sz w:val="19"/>
              </w:rPr>
              <w:t>45 min</w:t>
            </w:r>
          </w:p>
        </w:tc>
      </w:tr>
      <w:tr>
        <w:tc>
          <w:tcPr>
            <w:tcW w:type="dxa" w:w="2952"/>
            <w:shd w:val="clear" w:color="auto" w:fill="E8F0FE"/>
          </w:tcPr>
          <w:p>
            <w:r/>
            <w:r>
              <w:rPr>
                <w:rFonts w:ascii="Arial" w:hAnsi="Arial"/>
                <w:b/>
                <w:sz w:val="19"/>
              </w:rPr>
              <w:t>Topic 02: Shared Activities and Integration Options</w:t>
            </w:r>
          </w:p>
        </w:tc>
        <w:tc>
          <w:tcPr>
            <w:tcW w:type="dxa" w:w="1584"/>
            <w:shd w:val="clear" w:color="auto" w:fill="E8F0FE"/>
          </w:tcPr>
          <w:p>
            <w:r/>
            <w:r>
              <w:rPr>
                <w:rFonts w:ascii="Arial" w:hAnsi="Arial"/>
                <w:b w:val="0"/>
                <w:sz w:val="19"/>
              </w:rPr>
              <w:t>LO1, LO4 · Day 1 AM</w:t>
            </w:r>
          </w:p>
        </w:tc>
        <w:tc>
          <w:tcPr>
            <w:tcW w:type="dxa" w:w="4104"/>
          </w:tcPr>
          <w:p>
            <w:r/>
            <w:r>
              <w:rPr>
                <w:rFonts w:ascii="Arial" w:hAnsi="Arial"/>
                <w:b w:val="0"/>
                <w:sz w:val="19"/>
              </w:rPr>
              <w:t>Lab 2: Manage Customers, Activities and Reporting Views</w:t>
            </w:r>
          </w:p>
        </w:tc>
        <w:tc>
          <w:tcPr>
            <w:tcW w:type="dxa" w:w="1152"/>
          </w:tcPr>
          <w:p>
            <w:r/>
            <w:r>
              <w:rPr>
                <w:rFonts w:ascii="Arial" w:hAnsi="Arial"/>
                <w:b w:val="0"/>
                <w:sz w:val="19"/>
              </w:rPr>
              <w:t>60 min</w:t>
            </w:r>
          </w:p>
        </w:tc>
      </w:tr>
      <w:tr>
        <w:tc>
          <w:tcPr>
            <w:tcW w:type="dxa" w:w="2952"/>
            <w:shd w:val="clear" w:color="auto" w:fill="E8F0FE"/>
          </w:tcPr>
          <w:p>
            <w:r/>
            <w:r>
              <w:rPr>
                <w:rFonts w:ascii="Arial" w:hAnsi="Arial"/>
                <w:b/>
                <w:sz w:val="19"/>
              </w:rPr>
              <w:t>Topic 03: Dynamics 365 Customer Insights – Journeys</w:t>
            </w:r>
          </w:p>
        </w:tc>
        <w:tc>
          <w:tcPr>
            <w:tcW w:type="dxa" w:w="1584"/>
            <w:shd w:val="clear" w:color="auto" w:fill="E8F0FE"/>
          </w:tcPr>
          <w:p>
            <w:r/>
            <w:r>
              <w:rPr>
                <w:rFonts w:ascii="Arial" w:hAnsi="Arial"/>
                <w:b w:val="0"/>
                <w:sz w:val="19"/>
              </w:rPr>
              <w:t>LO2 · Day 1 PM</w:t>
            </w:r>
          </w:p>
        </w:tc>
        <w:tc>
          <w:tcPr>
            <w:tcW w:type="dxa" w:w="4104"/>
          </w:tcPr>
          <w:p>
            <w:r/>
            <w:r>
              <w:rPr>
                <w:rFonts w:ascii="Arial" w:hAnsi="Arial"/>
                <w:b w:val="0"/>
                <w:sz w:val="19"/>
              </w:rPr>
              <w:t>Lab 3: Build a Segment, an Email and a Customer Journey</w:t>
            </w:r>
          </w:p>
        </w:tc>
        <w:tc>
          <w:tcPr>
            <w:tcW w:type="dxa" w:w="1152"/>
          </w:tcPr>
          <w:p>
            <w:r/>
            <w:r>
              <w:rPr>
                <w:rFonts w:ascii="Arial" w:hAnsi="Arial"/>
                <w:b w:val="0"/>
                <w:sz w:val="19"/>
              </w:rPr>
              <w:t>60 min</w:t>
            </w:r>
          </w:p>
        </w:tc>
      </w:tr>
      <w:tr>
        <w:tc>
          <w:tcPr>
            <w:tcW w:type="dxa" w:w="2952"/>
            <w:shd w:val="clear" w:color="auto" w:fill="E8F0FE"/>
          </w:tcPr>
          <w:p>
            <w:r/>
            <w:r>
              <w:rPr>
                <w:rFonts w:ascii="Arial" w:hAnsi="Arial"/>
                <w:b/>
                <w:sz w:val="19"/>
              </w:rPr>
              <w:t>Topic 04: Customer Insights – Data and Customer Voice</w:t>
            </w:r>
          </w:p>
        </w:tc>
        <w:tc>
          <w:tcPr>
            <w:tcW w:type="dxa" w:w="1584"/>
            <w:shd w:val="clear" w:color="auto" w:fill="E8F0FE"/>
          </w:tcPr>
          <w:p>
            <w:r/>
            <w:r>
              <w:rPr>
                <w:rFonts w:ascii="Arial" w:hAnsi="Arial"/>
                <w:b w:val="0"/>
                <w:sz w:val="19"/>
              </w:rPr>
              <w:t>LO2, LO4 · Day 1 PM</w:t>
            </w:r>
          </w:p>
        </w:tc>
        <w:tc>
          <w:tcPr>
            <w:tcW w:type="dxa" w:w="4104"/>
          </w:tcPr>
          <w:p>
            <w:r/>
            <w:r>
              <w:rPr>
                <w:rFonts w:ascii="Arial" w:hAnsi="Arial"/>
                <w:b w:val="0"/>
                <w:sz w:val="19"/>
              </w:rPr>
              <w:t>Lab 4: Unify Customer Data and Capture Feedback with Customer Voice</w:t>
            </w:r>
          </w:p>
        </w:tc>
        <w:tc>
          <w:tcPr>
            <w:tcW w:type="dxa" w:w="1152"/>
          </w:tcPr>
          <w:p>
            <w:r/>
            <w:r>
              <w:rPr>
                <w:rFonts w:ascii="Arial" w:hAnsi="Arial"/>
                <w:b w:val="0"/>
                <w:sz w:val="19"/>
              </w:rPr>
              <w:t>45 min</w:t>
            </w:r>
          </w:p>
        </w:tc>
      </w:tr>
      <w:tr>
        <w:tc>
          <w:tcPr>
            <w:tcW w:type="dxa" w:w="2952"/>
            <w:shd w:val="clear" w:color="auto" w:fill="E8F0FE"/>
          </w:tcPr>
          <w:p>
            <w:r/>
            <w:r>
              <w:rPr>
                <w:rFonts w:ascii="Arial" w:hAnsi="Arial"/>
                <w:b/>
                <w:sz w:val="19"/>
              </w:rPr>
              <w:t>Topic 05: Explore Dynamics 365 Sales</w:t>
            </w:r>
          </w:p>
        </w:tc>
        <w:tc>
          <w:tcPr>
            <w:tcW w:type="dxa" w:w="1584"/>
            <w:shd w:val="clear" w:color="auto" w:fill="E8F0FE"/>
          </w:tcPr>
          <w:p>
            <w:r/>
            <w:r>
              <w:rPr>
                <w:rFonts w:ascii="Arial" w:hAnsi="Arial"/>
                <w:b w:val="0"/>
                <w:sz w:val="19"/>
              </w:rPr>
              <w:t>LO1, LO3 · Day 2 AM</w:t>
            </w:r>
          </w:p>
        </w:tc>
        <w:tc>
          <w:tcPr>
            <w:tcW w:type="dxa" w:w="4104"/>
          </w:tcPr>
          <w:p>
            <w:r/>
            <w:r>
              <w:rPr>
                <w:rFonts w:ascii="Arial" w:hAnsi="Arial"/>
                <w:b w:val="0"/>
                <w:sz w:val="19"/>
              </w:rPr>
              <w:t>Lab 5: Run the Lead-to-Cash Cycle: Lead, Opportunity, Quote, Order</w:t>
            </w:r>
          </w:p>
        </w:tc>
        <w:tc>
          <w:tcPr>
            <w:tcW w:type="dxa" w:w="1152"/>
          </w:tcPr>
          <w:p>
            <w:r/>
            <w:r>
              <w:rPr>
                <w:rFonts w:ascii="Arial" w:hAnsi="Arial"/>
                <w:b w:val="0"/>
                <w:sz w:val="19"/>
              </w:rPr>
              <w:t>60 min</w:t>
            </w:r>
          </w:p>
        </w:tc>
      </w:tr>
      <w:tr>
        <w:tc>
          <w:tcPr>
            <w:tcW w:type="dxa" w:w="2952"/>
            <w:shd w:val="clear" w:color="auto" w:fill="E8F0FE"/>
          </w:tcPr>
          <w:p>
            <w:r/>
            <w:r>
              <w:rPr>
                <w:rFonts w:ascii="Arial" w:hAnsi="Arial"/>
                <w:b/>
                <w:sz w:val="19"/>
              </w:rPr>
              <w:t>Topic 06: Dynamics 365 Sales Capabilities and Related Apps</w:t>
            </w:r>
          </w:p>
        </w:tc>
        <w:tc>
          <w:tcPr>
            <w:tcW w:type="dxa" w:w="1584"/>
            <w:shd w:val="clear" w:color="auto" w:fill="E8F0FE"/>
          </w:tcPr>
          <w:p>
            <w:r/>
            <w:r>
              <w:rPr>
                <w:rFonts w:ascii="Arial" w:hAnsi="Arial"/>
                <w:b w:val="0"/>
                <w:sz w:val="19"/>
              </w:rPr>
              <w:t>LO3, LO4, LO5 · Day 2 AM</w:t>
            </w:r>
          </w:p>
        </w:tc>
        <w:tc>
          <w:tcPr>
            <w:tcW w:type="dxa" w:w="4104"/>
          </w:tcPr>
          <w:p>
            <w:r/>
            <w:r>
              <w:rPr>
                <w:rFonts w:ascii="Arial" w:hAnsi="Arial"/>
                <w:b w:val="0"/>
                <w:sz w:val="19"/>
              </w:rPr>
              <w:t>Lab 6: Forecast the Pipeline and Evaluate Sales Insights</w:t>
            </w:r>
          </w:p>
        </w:tc>
        <w:tc>
          <w:tcPr>
            <w:tcW w:type="dxa" w:w="1152"/>
          </w:tcPr>
          <w:p>
            <w:r/>
            <w:r>
              <w:rPr>
                <w:rFonts w:ascii="Arial" w:hAnsi="Arial"/>
                <w:b w:val="0"/>
                <w:sz w:val="19"/>
              </w:rPr>
              <w:t>45 min</w:t>
            </w:r>
          </w:p>
        </w:tc>
      </w:tr>
      <w:tr>
        <w:tc>
          <w:tcPr>
            <w:tcW w:type="dxa" w:w="2952"/>
            <w:shd w:val="clear" w:color="auto" w:fill="E8F0FE"/>
          </w:tcPr>
          <w:p>
            <w:r/>
            <w:r>
              <w:rPr>
                <w:rFonts w:ascii="Arial" w:hAnsi="Arial"/>
                <w:b/>
                <w:sz w:val="19"/>
              </w:rPr>
              <w:t>Topic 07: Explore Dynamics 365 Customer Service</w:t>
            </w:r>
          </w:p>
        </w:tc>
        <w:tc>
          <w:tcPr>
            <w:tcW w:type="dxa" w:w="1584"/>
            <w:shd w:val="clear" w:color="auto" w:fill="E8F0FE"/>
          </w:tcPr>
          <w:p>
            <w:r/>
            <w:r>
              <w:rPr>
                <w:rFonts w:ascii="Arial" w:hAnsi="Arial"/>
                <w:b w:val="0"/>
                <w:sz w:val="19"/>
              </w:rPr>
              <w:t>LO1, LO3 · Day 2 AM</w:t>
            </w:r>
          </w:p>
        </w:tc>
        <w:tc>
          <w:tcPr>
            <w:tcW w:type="dxa" w:w="4104"/>
          </w:tcPr>
          <w:p>
            <w:r/>
            <w:r>
              <w:rPr>
                <w:rFonts w:ascii="Arial" w:hAnsi="Arial"/>
                <w:b w:val="0"/>
                <w:sz w:val="19"/>
              </w:rPr>
              <w:t>Lab 7: Resolve a Case with Knowledge, Queues, SLAs and Entitlements</w:t>
            </w:r>
          </w:p>
        </w:tc>
        <w:tc>
          <w:tcPr>
            <w:tcW w:type="dxa" w:w="1152"/>
          </w:tcPr>
          <w:p>
            <w:r/>
            <w:r>
              <w:rPr>
                <w:rFonts w:ascii="Arial" w:hAnsi="Arial"/>
                <w:b w:val="0"/>
                <w:sz w:val="19"/>
              </w:rPr>
              <w:t>60 min</w:t>
            </w:r>
          </w:p>
        </w:tc>
      </w:tr>
      <w:tr>
        <w:tc>
          <w:tcPr>
            <w:tcW w:type="dxa" w:w="2952"/>
            <w:shd w:val="clear" w:color="auto" w:fill="E8F0FE"/>
          </w:tcPr>
          <w:p>
            <w:r/>
            <w:r>
              <w:rPr>
                <w:rFonts w:ascii="Arial" w:hAnsi="Arial"/>
                <w:b/>
                <w:sz w:val="19"/>
              </w:rPr>
              <w:t>Topic 08: Customer Service Capabilities and Related Apps</w:t>
            </w:r>
          </w:p>
        </w:tc>
        <w:tc>
          <w:tcPr>
            <w:tcW w:type="dxa" w:w="1584"/>
            <w:shd w:val="clear" w:color="auto" w:fill="E8F0FE"/>
          </w:tcPr>
          <w:p>
            <w:r/>
            <w:r>
              <w:rPr>
                <w:rFonts w:ascii="Arial" w:hAnsi="Arial"/>
                <w:b w:val="0"/>
                <w:sz w:val="19"/>
              </w:rPr>
              <w:t>LO3, LO4 · Day 2 PM</w:t>
            </w:r>
          </w:p>
        </w:tc>
        <w:tc>
          <w:tcPr>
            <w:tcW w:type="dxa" w:w="4104"/>
          </w:tcPr>
          <w:p>
            <w:r/>
            <w:r>
              <w:rPr>
                <w:rFonts w:ascii="Arial" w:hAnsi="Arial"/>
                <w:b w:val="0"/>
                <w:sz w:val="19"/>
              </w:rPr>
              <w:t>Lab 8: Omnichannel, Supervisor Insights and Service Analytics</w:t>
            </w:r>
          </w:p>
        </w:tc>
        <w:tc>
          <w:tcPr>
            <w:tcW w:type="dxa" w:w="1152"/>
          </w:tcPr>
          <w:p>
            <w:r/>
            <w:r>
              <w:rPr>
                <w:rFonts w:ascii="Arial" w:hAnsi="Arial"/>
                <w:b w:val="0"/>
                <w:sz w:val="19"/>
              </w:rPr>
              <w:t>45 min</w:t>
            </w:r>
          </w:p>
        </w:tc>
      </w:tr>
      <w:tr>
        <w:tc>
          <w:tcPr>
            <w:tcW w:type="dxa" w:w="2952"/>
            <w:shd w:val="clear" w:color="auto" w:fill="E8F0FE"/>
          </w:tcPr>
          <w:p>
            <w:r/>
            <w:r>
              <w:rPr>
                <w:rFonts w:ascii="Arial" w:hAnsi="Arial"/>
                <w:b/>
                <w:sz w:val="19"/>
              </w:rPr>
              <w:t>Topic 09: Explore Dynamics 365 Field Service</w:t>
            </w:r>
          </w:p>
        </w:tc>
        <w:tc>
          <w:tcPr>
            <w:tcW w:type="dxa" w:w="1584"/>
            <w:shd w:val="clear" w:color="auto" w:fill="E8F0FE"/>
          </w:tcPr>
          <w:p>
            <w:r/>
            <w:r>
              <w:rPr>
                <w:rFonts w:ascii="Arial" w:hAnsi="Arial"/>
                <w:b w:val="0"/>
                <w:sz w:val="19"/>
              </w:rPr>
              <w:t>LO1, LO3 · Day 2 PM</w:t>
            </w:r>
          </w:p>
        </w:tc>
        <w:tc>
          <w:tcPr>
            <w:tcW w:type="dxa" w:w="4104"/>
          </w:tcPr>
          <w:p>
            <w:r/>
            <w:r>
              <w:rPr>
                <w:rFonts w:ascii="Arial" w:hAnsi="Arial"/>
                <w:b w:val="0"/>
                <w:sz w:val="19"/>
              </w:rPr>
              <w:t>Lab 9: Create and Complete a Work Order with an Inspection</w:t>
            </w:r>
          </w:p>
        </w:tc>
        <w:tc>
          <w:tcPr>
            <w:tcW w:type="dxa" w:w="1152"/>
          </w:tcPr>
          <w:p>
            <w:r/>
            <w:r>
              <w:rPr>
                <w:rFonts w:ascii="Arial" w:hAnsi="Arial"/>
                <w:b w:val="0"/>
                <w:sz w:val="19"/>
              </w:rPr>
              <w:t>55 min</w:t>
            </w:r>
          </w:p>
        </w:tc>
      </w:tr>
      <w:tr>
        <w:tc>
          <w:tcPr>
            <w:tcW w:type="dxa" w:w="2952"/>
            <w:shd w:val="clear" w:color="auto" w:fill="E8F0FE"/>
          </w:tcPr>
          <w:p>
            <w:r/>
            <w:r>
              <w:rPr>
                <w:rFonts w:ascii="Arial" w:hAnsi="Arial"/>
                <w:b/>
                <w:sz w:val="19"/>
              </w:rPr>
              <w:t>Topic 10: Field Service Scheduling Capabilities and Related Apps</w:t>
            </w:r>
          </w:p>
        </w:tc>
        <w:tc>
          <w:tcPr>
            <w:tcW w:type="dxa" w:w="1584"/>
            <w:shd w:val="clear" w:color="auto" w:fill="E8F0FE"/>
          </w:tcPr>
          <w:p>
            <w:r/>
            <w:r>
              <w:rPr>
                <w:rFonts w:ascii="Arial" w:hAnsi="Arial"/>
                <w:b w:val="0"/>
                <w:sz w:val="19"/>
              </w:rPr>
              <w:t>LO3, LO4, LO5 · Day 2 PM</w:t>
            </w:r>
          </w:p>
        </w:tc>
        <w:tc>
          <w:tcPr>
            <w:tcW w:type="dxa" w:w="4104"/>
          </w:tcPr>
          <w:p>
            <w:r/>
            <w:r>
              <w:rPr>
                <w:rFonts w:ascii="Arial" w:hAnsi="Arial"/>
                <w:b w:val="0"/>
                <w:sz w:val="19"/>
              </w:rPr>
              <w:t>Lab 10: Schedule Resources, Manage Assets and Connect IoT</w:t>
            </w:r>
          </w:p>
        </w:tc>
        <w:tc>
          <w:tcPr>
            <w:tcW w:type="dxa" w:w="1152"/>
          </w:tcPr>
          <w:p>
            <w:r/>
            <w:r>
              <w:rPr>
                <w:rFonts w:ascii="Arial" w:hAnsi="Arial"/>
                <w:b w:val="0"/>
                <w:sz w:val="19"/>
              </w:rPr>
              <w:t>55 min</w:t>
            </w:r>
          </w:p>
        </w:tc>
      </w:tr>
    </w:tbl>
    <w:p>
      <w:pPr>
        <w:pStyle w:val="Heading1"/>
      </w:pPr>
      <w:r>
        <w:t>Teaching and Learning Methods</w:t>
      </w:r>
    </w:p>
    <w:p>
      <w:pPr>
        <w:pStyle w:val="ListBullet"/>
      </w:pPr>
      <w:r>
        <w:rPr>
          <w:sz w:val="21"/>
        </w:rPr>
        <w:t>Trainer-led presentation with a highly visual slide deck — diagrams, process maps, comparison tables and native charts rather than bullet walls.</w:t>
      </w:r>
    </w:p>
    <w:p>
      <w:pPr>
        <w:pStyle w:val="ListBullet"/>
      </w:pPr>
      <w:r>
        <w:rPr>
          <w:sz w:val="21"/>
        </w:rPr>
        <w:t>Guided demonstration in a live Dynamics 365 environment before each lab.</w:t>
      </w:r>
    </w:p>
    <w:p>
      <w:pPr>
        <w:pStyle w:val="ListBullet"/>
      </w:pPr>
      <w:r>
        <w:rPr>
          <w:sz w:val="21"/>
        </w:rPr>
        <w:t>Hands-on individual practice — ten labs, each producing a verifiable artefact the learner can show.</w:t>
      </w:r>
    </w:p>
    <w:p>
      <w:pPr>
        <w:pStyle w:val="ListBullet"/>
      </w:pPr>
      <w:r>
        <w:rPr>
          <w:sz w:val="21"/>
        </w:rPr>
        <w:t>Mock data supplied per lab so learners work with realistic records instead of inventing data.</w:t>
      </w:r>
    </w:p>
    <w:p>
      <w:pPr>
        <w:pStyle w:val="ListBullet"/>
      </w:pPr>
      <w:r>
        <w:rPr>
          <w:sz w:val="21"/>
        </w:rPr>
        <w:t>Facilitated discussion at each topic boundary connecting the feature to the learner's own workplace.</w:t>
      </w:r>
    </w:p>
    <w:p>
      <w:pPr>
        <w:pStyle w:val="ListBullet"/>
      </w:pPr>
      <w:r>
        <w:rPr>
          <w:sz w:val="21"/>
        </w:rPr>
        <w:t>Formative checks: each lab ends with a 'Test it' verification the trainer reviews before moving 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