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LIVING · APPROVED</w:t>
      </w:r>
    </w:p>
    <w:p>
      <w:r>
        <w:rPr>
          <w:b/>
          <w:sz w:val="38"/>
        </w:rPr>
        <w:t>Project Brief — Sustainable Workspace Campaign</w:t>
      </w:r>
    </w:p>
    <w:p>
      <w:r>
        <w:t>Approved by: Head of Marketing.  Approval date: 12 September 2026.  Version 1.0.</w:t>
      </w:r>
    </w:p>
    <w:p>
      <w:pPr>
        <w:spacing w:before="240" w:after="60"/>
      </w:pPr>
      <w:r>
        <w:rPr>
          <w:b/>
          <w:sz w:val="24"/>
        </w:rPr>
        <w:t>1. Purpose</w:t>
      </w:r>
    </w:p>
    <w:p>
      <w:r>
        <w:t>Lumina Living will launch the Sustainable Workspace campaign to grow corporate demand for our low-carbon workspace range and to establish the brand in the 50–250 staff office segment.</w:t>
      </w:r>
    </w:p>
    <w:p>
      <w:pPr>
        <w:spacing w:before="240" w:after="60"/>
      </w:pPr>
      <w:r>
        <w:rPr>
          <w:b/>
          <w:sz w:val="24"/>
        </w:rPr>
        <w:t>2. Objectives</w:t>
      </w:r>
    </w:p>
    <w:p>
      <w:pPr>
        <w:pStyle w:val="ListBullet"/>
      </w:pPr>
      <w:r>
        <w:t>Generate SGD 940,000 of campaign-attributed revenue in the six months from launch.</w:t>
      </w:r>
    </w:p>
    <w:p>
      <w:pPr>
        <w:pStyle w:val="ListBullet"/>
      </w:pPr>
      <w:r>
        <w:t>Achieve a blended conversion rate of at least 4.0% across Web, Retail and Partner channels.</w:t>
      </w:r>
    </w:p>
    <w:p>
      <w:pPr>
        <w:pStyle w:val="ListBullet"/>
      </w:pPr>
      <w:r>
        <w:t>Hold blended margin at or above 32% for the campaign period.</w:t>
      </w:r>
    </w:p>
    <w:p>
      <w:pPr>
        <w:spacing w:before="240" w:after="60"/>
      </w:pPr>
      <w:r>
        <w:rPr>
          <w:b/>
          <w:sz w:val="24"/>
        </w:rPr>
        <w:t>3. Scope</w:t>
      </w:r>
    </w:p>
    <w:p>
      <w:r>
        <w:t>In scope: the Ergo Desk, Task Chair, Acoustic Pod and Sit-Stand Riser lines across the North, South, East and West regions. Out of scope: export markets and the residential range.</w:t>
      </w:r>
    </w:p>
    <w:p>
      <w:pPr>
        <w:spacing w:before="240" w:after="60"/>
      </w:pPr>
      <w:r>
        <w:rPr>
          <w:b/>
          <w:sz w:val="24"/>
        </w:rPr>
        <w:t>4. Milestones</w:t>
      </w:r>
    </w:p>
    <w:p>
      <w:pPr>
        <w:pStyle w:val="ListBullet"/>
      </w:pPr>
      <w:r>
        <w:t>Creative sign-off — 12 September 2026 — Marketing.</w:t>
      </w:r>
    </w:p>
    <w:p>
      <w:pPr>
        <w:pStyle w:val="ListBullet"/>
      </w:pPr>
      <w:r>
        <w:t>Channel launch — 5 October 2026 — Marketing and Retail.</w:t>
      </w:r>
    </w:p>
    <w:p>
      <w:pPr>
        <w:pStyle w:val="ListBullet"/>
      </w:pPr>
      <w:r>
        <w:t>Post-launch review — 16 November 2026 — Marketing and Finance.</w:t>
      </w:r>
    </w:p>
    <w:p>
      <w:pPr>
        <w:spacing w:before="240" w:after="60"/>
      </w:pPr>
      <w:r>
        <w:rPr>
          <w:b/>
          <w:sz w:val="24"/>
        </w:rPr>
        <w:t>5. Budget</w:t>
      </w:r>
    </w:p>
    <w:p>
      <w:r>
        <w:t>Total approved budget is SGD 185,000, covering creative production, paid media, retail point-of-sale and partner enablement.</w:t>
      </w:r>
    </w:p>
    <w:p>
      <w:pPr>
        <w:spacing w:before="240" w:after="60"/>
      </w:pPr>
      <w:r>
        <w:rPr>
          <w:b/>
          <w:sz w:val="24"/>
        </w:rPr>
        <w:t>6. Risks</w:t>
      </w:r>
    </w:p>
    <w:p>
      <w:pPr>
        <w:pStyle w:val="ListBullet"/>
      </w:pPr>
      <w:r>
        <w:t>Supplier lead time on Acoustic Pods may not support October demand.</w:t>
      </w:r>
    </w:p>
    <w:p>
      <w:pPr>
        <w:pStyle w:val="ListBullet"/>
      </w:pPr>
      <w:r>
        <w:t>Retail staff training is not yet scheduled, which risks inconsistent in-store messaging.</w:t>
      </w:r>
    </w:p>
    <w:p>
      <w:pPr>
        <w:pStyle w:val="ListBullet"/>
      </w:pPr>
      <w:r>
        <w:t>Partner channel reporting lags by up to two weeks, delaying performance visibility.</w:t>
      </w:r>
    </w:p>
    <w:p>
      <w:pPr>
        <w:spacing w:before="240" w:after="60"/>
      </w:pPr>
      <w:r>
        <w:rPr>
          <w:b/>
          <w:sz w:val="24"/>
        </w:rPr>
        <w:t>7. Open Questions</w:t>
      </w:r>
    </w:p>
    <w:p>
      <w:pPr>
        <w:pStyle w:val="ListBullet"/>
      </w:pPr>
      <w:r>
        <w:t>Is additional Acoustic Pod stock committed for the launch window?</w:t>
      </w:r>
    </w:p>
    <w:p>
      <w:pPr>
        <w:pStyle w:val="ListBullet"/>
      </w:pPr>
      <w:r>
        <w:t>Who owns the partner reporting lag, and can it be shortened before launch?</w:t>
      </w:r>
    </w:p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