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APPROVED KNOWLEDGE SOURCE</w:t>
      </w:r>
    </w:p>
    <w:p>
      <w:r>
        <w:rPr>
          <w:b/>
          <w:sz w:val="38"/>
        </w:rPr>
        <w:t>Procurement Policy</w:t>
      </w:r>
    </w:p>
    <w:p>
      <w:r>
        <w:t>Version 2.1.  Approved 4 August 2026.  Owner: Head of Finance.  This is the only approved source for procurement questions.</w:t>
      </w:r>
    </w:p>
    <w:p>
      <w:pPr>
        <w:spacing w:before="240" w:after="60"/>
      </w:pPr>
      <w:r>
        <w:rPr>
          <w:b/>
          <w:sz w:val="24"/>
        </w:rPr>
        <w:t>1. Purpose and scope</w:t>
      </w:r>
    </w:p>
    <w:p>
      <w:r>
        <w:t>This policy governs how Lumina Living staff request, approve and record the purchase of goods and services. It applies to all staff and to every purchase regardless of value.</w:t>
      </w:r>
    </w:p>
    <w:p>
      <w:pPr>
        <w:spacing w:before="240" w:after="60"/>
      </w:pPr>
      <w:r>
        <w:rPr>
          <w:b/>
          <w:sz w:val="24"/>
        </w:rPr>
        <w:t>2. Approval limits</w:t>
      </w:r>
    </w:p>
    <w:p>
      <w:pPr>
        <w:pStyle w:val="ListBullet"/>
      </w:pPr>
      <w:r>
        <w:t>Purchases up to SGD 2,000 may be approved by the requesting manager.</w:t>
      </w:r>
    </w:p>
    <w:p>
      <w:pPr>
        <w:pStyle w:val="ListBullet"/>
      </w:pPr>
      <w:r>
        <w:t>Purchases above SGD 2,000 must be routed to Finance for approval before any commitment.</w:t>
      </w:r>
    </w:p>
    <w:p>
      <w:pPr>
        <w:pStyle w:val="ListBullet"/>
      </w:pPr>
      <w:r>
        <w:t>No purchase may be split into smaller requests to stay below the SGD 2,000 limit.</w:t>
      </w:r>
    </w:p>
    <w:p>
      <w:pPr>
        <w:spacing w:before="240" w:after="60"/>
      </w:pPr>
      <w:r>
        <w:rPr>
          <w:b/>
          <w:sz w:val="24"/>
        </w:rPr>
        <w:t>3. Approved vendors</w:t>
      </w:r>
    </w:p>
    <w:p>
      <w:pPr>
        <w:pStyle w:val="ListBullet"/>
      </w:pPr>
      <w:r>
        <w:t>Purchases may only be raised against a vendor on the Approved Vendor List.</w:t>
      </w:r>
    </w:p>
    <w:p>
      <w:pPr>
        <w:pStyle w:val="ListBullet"/>
      </w:pPr>
      <w:r>
        <w:t>A vendor with the status Suspended must not be used for any purchase.</w:t>
      </w:r>
    </w:p>
    <w:p>
      <w:pPr>
        <w:pStyle w:val="ListBullet"/>
      </w:pPr>
      <w:r>
        <w:t>A vendor with the status Under review must not be used until the review is closed.</w:t>
      </w:r>
    </w:p>
    <w:p>
      <w:pPr>
        <w:pStyle w:val="ListBullet"/>
      </w:pPr>
      <w:r>
        <w:t>A vendor that does not appear on the list is not an approved vendor.</w:t>
      </w:r>
    </w:p>
    <w:p>
      <w:pPr>
        <w:spacing w:before="240" w:after="60"/>
      </w:pPr>
      <w:r>
        <w:rPr>
          <w:b/>
          <w:sz w:val="24"/>
        </w:rPr>
        <w:t>4. Requisitions</w:t>
      </w:r>
    </w:p>
    <w:p>
      <w:r>
        <w:t>Every purchase begins with a requisition recording the vendor, the amount, the category and the business reason. A requisition is a request, not a commitment.</w:t>
      </w:r>
    </w:p>
    <w:p>
      <w:pPr>
        <w:spacing w:before="240" w:after="60"/>
      </w:pPr>
      <w:r>
        <w:rPr>
          <w:b/>
          <w:sz w:val="24"/>
        </w:rPr>
        <w:t>5. Payment release</w:t>
      </w:r>
    </w:p>
    <w:p>
      <w:r>
        <w:t>Payment is released only by Finance, only against a matched invoice and receipt, and only after the goods or services have been confirmed as received. Payment release is never delegated to an automated system.</w:t>
      </w:r>
    </w:p>
    <w:p>
      <w:pPr>
        <w:spacing w:before="240" w:after="60"/>
      </w:pPr>
      <w:r>
        <w:rPr>
          <w:b/>
          <w:sz w:val="24"/>
        </w:rPr>
        <w:t>6. Records</w:t>
      </w:r>
    </w:p>
    <w:p>
      <w:r>
        <w:t>Every requisition is logged, whether it is approved or rejected, and the log is retained for seven years.</w:t>
      </w:r>
    </w:p>
    <w:p>
      <w:pPr>
        <w:spacing w:before="240" w:after="60"/>
      </w:pPr>
      <w:r>
        <w:rPr>
          <w:b/>
          <w:sz w:val="24"/>
        </w:rPr>
        <w:t>7. Escalation</w:t>
      </w:r>
    </w:p>
    <w:p>
      <w:r>
        <w:t>Questions not answered by this policy should be directed to the Finance team at finance@lumina-living.example.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