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nomous-agent-security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Security Operations for Autonomous AI Agents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TGS-2024042604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12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4-day lesson plan aligned to the 454-slide technical deck and 10 activities.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Four-Day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Security Strategy and Standards for Autonomous AI Agents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Agent Security Policies, Governance and Compliance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3 — AI Agent Risk Assessment and Security Control Evaluation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4 — Implementing and Monitoring Organisation-Wide Agent Security Operations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Deck and Activity Alignment</w:t>
        <w:tab/>
        <w:t>6</w:t>
      </w:r>
    </w:p>
    <w:p>
      <w:pPr>
        <w:spacing w:before="0" w:after="0" w:line="2"/>
      </w:pPr>
      <w:r>
        <w:rPr>
          <w:vanish/>
          <w:sz w:val="2"/>
        </w:rP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1"/>
      </w:pPr>
      <w:r>
        <w:rPr>
          <w:color w:val="00898B"/>
        </w:rPr>
        <w:t>Course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Course title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Security Operations for Autonomous AI Agents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Course code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TGS-2024042604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TSC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Security Strategy · ICT-SNA-5021-1.1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Duration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4 days · 32 scheduled hours, excluding lunch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Mode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Instructor-led classroom or synchronous delivery with offline activities</w:t>
            </w:r>
          </w:p>
        </w:tc>
      </w:tr>
      <w:tr>
        <w:tc>
          <w:tcPr>
            <w:tcW w:type="dxa" w:w="4320"/>
            <w:vAlign w:val="center"/>
            <w:shd w:fill="DDF3F1"/>
          </w:tcPr>
          <w:p>
            <w:r/>
            <w:r>
              <w:rPr>
                <w:rFonts w:ascii="Arial" w:hAnsi="Arial"/>
                <w:b/>
                <w:color w:val="0B1F33"/>
                <w:sz w:val="19"/>
              </w:rPr>
              <w:t>Assessment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WA 1 hour + PP 3 hours, matching the verified legacy papers</w:t>
            </w:r>
          </w:p>
        </w:tc>
      </w:tr>
    </w:tbl>
    <w:p>
      <w:pPr>
        <w:pStyle w:val="Heading1"/>
      </w:pPr>
      <w:r>
        <w:rPr>
          <w:color w:val="00898B"/>
        </w:rPr>
        <w:t>Learning Outcomes</w:t>
      </w:r>
    </w:p>
    <w:p>
      <w:pPr>
        <w:pStyle w:val="ListBullet"/>
      </w:pPr>
      <w:r>
        <w:t>LO1: Formulate comprehensive security goals and establish business standards with an overarching security vision for autonomous AI agents.</w:t>
      </w:r>
    </w:p>
    <w:p>
      <w:pPr>
        <w:pStyle w:val="ListBullet"/>
      </w:pPr>
      <w:r>
        <w:t>LO2: Communicate effective agent-security policies and practices, and manage compliance with best practices and technological advancements.</w:t>
      </w:r>
    </w:p>
    <w:p>
      <w:pPr>
        <w:pStyle w:val="ListBullet"/>
      </w:pPr>
      <w:r>
        <w:t>LO3: Evaluate existing agent-security controls against business risks and costs, and develop strategies to resolve identified security gaps.</w:t>
      </w:r>
    </w:p>
    <w:p>
      <w:pPr>
        <w:pStyle w:val="ListBullet"/>
      </w:pPr>
      <w:r>
        <w:t>LO4: Implement organisation-wide agent-security initiatives, assessing and addressing the impact of security gaps.</w:t>
      </w:r>
    </w:p>
    <w:p>
      <w:pPr>
        <w:pStyle w:val="Heading1"/>
      </w:pPr>
      <w:r>
        <w:rPr>
          <w:color w:val="00898B"/>
        </w:rPr>
        <w:t>Four-Day Schedule</w:t>
      </w:r>
    </w:p>
    <w:p>
      <w:pPr>
        <w:pStyle w:val="Heading2"/>
      </w:pPr>
      <w:r>
        <w:t>Day 1 — Security Strategy and Standards for Autonomous AI Agents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00898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1728"/>
            <w:vAlign w:val="center"/>
            <w:shd w:fill="00898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vAlign w:val="center"/>
            <w:shd w:fill="00898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Learning activity</w:t>
            </w:r>
          </w:p>
        </w:tc>
        <w:tc>
          <w:tcPr>
            <w:tcW w:type="dxa" w:w="1728"/>
            <w:vAlign w:val="center"/>
            <w:shd w:fill="00898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Evidence / slide reference</w:t>
            </w:r>
          </w:p>
        </w:tc>
        <w:tc>
          <w:tcPr>
            <w:tcW w:type="dxa" w:w="1728"/>
            <w:vAlign w:val="center"/>
            <w:shd w:fill="00898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09:30–10:00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Welcome, attendance, outcomes and assessment orientation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Slides 1–18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30 min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10:00–11:00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Topic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Strategy operating model and criteria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Slides 19–127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60 min</w:t>
            </w:r>
          </w:p>
        </w:tc>
      </w:tr>
      <w:tr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11:00–11:15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15 min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11:15–13:30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Technical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Agent inventory, goals, identity, tools and data controls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Topic 1 slides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135 min</w:t>
            </w:r>
          </w:p>
        </w:tc>
      </w:tr>
      <w:tr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13:30–14:30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Lunch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Lunch break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14:30–16:00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Activity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Activities 01–02: inventory and trust-boundary threat model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Activity folders 01–02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90 min</w:t>
            </w:r>
          </w:p>
        </w:tc>
      </w:tr>
      <w:tr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16:00–16:15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15 min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16:15–18:15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Activity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Activity 03: enforce tool and data guardrails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Activity folder 03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120 min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18:15–18:30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Recap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Evidence review and PM attendance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Topic 1 recap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15 min</w:t>
            </w:r>
          </w:p>
        </w:tc>
      </w:tr>
    </w:tbl>
    <w:p>
      <w:r>
        <w:rPr>
          <w:i/>
        </w:rPr>
        <w:t>Scheduled time excluding lunch: 480 minutes (8.0 hours).</w:t>
      </w:r>
    </w:p>
    <w:p>
      <w:pPr>
        <w:pStyle w:val="Heading2"/>
      </w:pPr>
      <w:r>
        <w:t>Day 2 — Agent Security Policies, Governance and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00898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1728"/>
            <w:vAlign w:val="center"/>
            <w:shd w:fill="00898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vAlign w:val="center"/>
            <w:shd w:fill="00898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Learning activity</w:t>
            </w:r>
          </w:p>
        </w:tc>
        <w:tc>
          <w:tcPr>
            <w:tcW w:type="dxa" w:w="1728"/>
            <w:vAlign w:val="center"/>
            <w:shd w:fill="00898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Evidence / slide reference</w:t>
            </w:r>
          </w:p>
        </w:tc>
        <w:tc>
          <w:tcPr>
            <w:tcW w:type="dxa" w:w="1728"/>
            <w:vAlign w:val="center"/>
            <w:shd w:fill="00898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09:30–09:45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Recap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Day 1 recap and AM attendance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Topic 1 recap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15 min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09:45–11:00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Topic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Policy, governance and compliance operating model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Slides 128–233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75 min</w:t>
            </w:r>
          </w:p>
        </w:tc>
      </w:tr>
      <w:tr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11:00–11:15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15 min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11:15–13:30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Technical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Policy hierarchy, policy-as-code, permissions and evidence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Topic 2 slides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135 min</w:t>
            </w:r>
          </w:p>
        </w:tc>
      </w:tr>
      <w:tr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13:30–14:30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Lunch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Lunch break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14:30–16:00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Activity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Activity 04: compliance evidence pack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Activity folder 04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90 min</w:t>
            </w:r>
          </w:p>
        </w:tc>
      </w:tr>
      <w:tr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16:00–16:15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15 min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16:15–18:15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Activity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Activity 05: security posture communication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Activity folder 05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120 min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18:15–18:30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Recap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Governance decisions and PM attendance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Topic 2 recap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15 min</w:t>
            </w:r>
          </w:p>
        </w:tc>
      </w:tr>
    </w:tbl>
    <w:p>
      <w:r>
        <w:rPr>
          <w:i/>
        </w:rPr>
        <w:t>Scheduled time excluding lunch: 480 minutes (8.0 hours).</w:t>
      </w:r>
    </w:p>
    <w:p>
      <w:pPr>
        <w:pStyle w:val="Heading2"/>
      </w:pPr>
      <w:r>
        <w:t>Day 3 — AI Agent Risk Assessment and Security Control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00898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1728"/>
            <w:vAlign w:val="center"/>
            <w:shd w:fill="00898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vAlign w:val="center"/>
            <w:shd w:fill="00898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Learning activity</w:t>
            </w:r>
          </w:p>
        </w:tc>
        <w:tc>
          <w:tcPr>
            <w:tcW w:type="dxa" w:w="1728"/>
            <w:vAlign w:val="center"/>
            <w:shd w:fill="00898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Evidence / slide reference</w:t>
            </w:r>
          </w:p>
        </w:tc>
        <w:tc>
          <w:tcPr>
            <w:tcW w:type="dxa" w:w="1728"/>
            <w:vAlign w:val="center"/>
            <w:shd w:fill="00898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09:30–09:45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Recap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Day 2 recap and AM attendance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Topic 2 recap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15 min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09:45–11:00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Topic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Agent threat and risk evaluation operating model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Slides 234–339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75 min</w:t>
            </w:r>
          </w:p>
        </w:tc>
      </w:tr>
      <w:tr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11:00–11:15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15 min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11:15–13:30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Technical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Injection, poisoning, excessive agency, exfiltration and supply chain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Topic 3 slides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135 min</w:t>
            </w:r>
          </w:p>
        </w:tc>
      </w:tr>
      <w:tr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13:30–14:30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Lunch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Lunch break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14:30–16:00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Activity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Activity 06: quantify risks and control value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Activity folder 06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90 min</w:t>
            </w:r>
          </w:p>
        </w:tc>
      </w:tr>
      <w:tr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16:00–16:15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15 min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16:15–18:15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Activity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Activity 07: prioritise remediation roadmap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Activity folder 07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120 min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18:15–18:30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Recap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Risk decisions and PM attendance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Topic 3 recap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15 min</w:t>
            </w:r>
          </w:p>
        </w:tc>
      </w:tr>
    </w:tbl>
    <w:p>
      <w:r>
        <w:rPr>
          <w:i/>
        </w:rPr>
        <w:t>Scheduled time excluding lunch: 480 minutes (8.0 hours).</w:t>
      </w:r>
    </w:p>
    <w:p>
      <w:pPr>
        <w:pStyle w:val="Heading2"/>
      </w:pPr>
      <w:r>
        <w:t>Day 4 — Implementing and Monitoring Organisation-Wide Agent Security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00898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1728"/>
            <w:vAlign w:val="center"/>
            <w:shd w:fill="00898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vAlign w:val="center"/>
            <w:shd w:fill="00898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Learning activity</w:t>
            </w:r>
          </w:p>
        </w:tc>
        <w:tc>
          <w:tcPr>
            <w:tcW w:type="dxa" w:w="1728"/>
            <w:vAlign w:val="center"/>
            <w:shd w:fill="00898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Evidence / slide reference</w:t>
            </w:r>
          </w:p>
        </w:tc>
        <w:tc>
          <w:tcPr>
            <w:tcW w:type="dxa" w:w="1728"/>
            <w:vAlign w:val="center"/>
            <w:shd w:fill="00898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09:30–09:45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Recap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Day 3 recap and AM attendance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Topic 3 recap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15 min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09:45–10:45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Topic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Monitoring, detection and response operating model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Slides 340–448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60 min</w:t>
            </w:r>
          </w:p>
        </w:tc>
      </w:tr>
      <w:tr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10:45–11:00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15 min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11:00–12:00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Activity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Activity 08: suspicious behaviour detection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Activity folder 08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12:00–12:45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Activity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Activity 09: prompt-injection containment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Activity folder 09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45 min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12:45–13:30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Activity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Activity 10: recovery and post-incident review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Activity folder 10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45 min</w:t>
            </w:r>
          </w:p>
        </w:tc>
      </w:tr>
      <w:tr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13:30–14:30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Lunch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Lunch break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1728"/>
            <w:vAlign w:val="center"/>
            <w:shd w:fill="FFF3D6"/>
          </w:tcPr>
          <w:p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</w:tr>
      <w:tr>
        <w:tc>
          <w:tcPr>
            <w:tcW w:type="dxa" w:w="1728"/>
            <w:vAlign w:val="center"/>
            <w:shd w:fill="E5F5EC"/>
          </w:tcPr>
          <w:p>
            <w:r/>
            <w:r>
              <w:rPr>
                <w:rFonts w:ascii="Arial" w:hAnsi="Arial"/>
                <w:b/>
                <w:sz w:val="17"/>
              </w:rPr>
              <w:t>14:30–15:30</w:t>
            </w:r>
          </w:p>
        </w:tc>
        <w:tc>
          <w:tcPr>
            <w:tcW w:type="dxa" w:w="1728"/>
            <w:vAlign w:val="center"/>
            <w:shd w:fill="E5F5EC"/>
          </w:tcPr>
          <w:p>
            <w:r/>
            <w:r>
              <w:rPr>
                <w:rFonts w:ascii="Arial" w:hAnsi="Arial"/>
                <w:b/>
                <w:sz w:val="17"/>
              </w:rPr>
              <w:t>Assessment</w:t>
            </w:r>
          </w:p>
        </w:tc>
        <w:tc>
          <w:tcPr>
            <w:tcW w:type="dxa" w:w="1728"/>
            <w:vAlign w:val="center"/>
            <w:shd w:fill="E5F5EC"/>
          </w:tcPr>
          <w:p>
            <w:r/>
            <w:r>
              <w:rPr>
                <w:rFonts w:ascii="Arial" w:hAnsi="Arial"/>
                <w:b/>
                <w:sz w:val="17"/>
              </w:rPr>
              <w:t>Written Assessment (WA), open book</w:t>
            </w:r>
          </w:p>
        </w:tc>
        <w:tc>
          <w:tcPr>
            <w:tcW w:type="dxa" w:w="1728"/>
            <w:vAlign w:val="center"/>
            <w:shd w:fill="E5F5EC"/>
          </w:tcPr>
          <w:p>
            <w:r/>
            <w:r>
              <w:rPr>
                <w:rFonts w:ascii="Arial" w:hAnsi="Arial"/>
                <w:b/>
                <w:sz w:val="17"/>
              </w:rPr>
              <w:t>7 questions · K1–K7 · 1 hour</w:t>
            </w:r>
          </w:p>
        </w:tc>
        <w:tc>
          <w:tcPr>
            <w:tcW w:type="dxa" w:w="1728"/>
            <w:vAlign w:val="center"/>
            <w:shd w:fill="E5F5EC"/>
          </w:tcPr>
          <w:p>
            <w:r/>
            <w:r>
              <w:rPr>
                <w:rFonts w:ascii="Arial" w:hAnsi="Arial"/>
                <w:b/>
                <w:sz w:val="17"/>
              </w:rPr>
              <w:t>60 min</w:t>
            </w:r>
          </w:p>
        </w:tc>
      </w:tr>
      <w:tr>
        <w:tc>
          <w:tcPr>
            <w:tcW w:type="dxa" w:w="1728"/>
            <w:vAlign w:val="center"/>
            <w:shd w:fill="E5F5EC"/>
          </w:tcPr>
          <w:p>
            <w:r/>
            <w:r>
              <w:rPr>
                <w:rFonts w:ascii="Arial" w:hAnsi="Arial"/>
                <w:b/>
                <w:sz w:val="17"/>
              </w:rPr>
              <w:t>15:30–18:30</w:t>
            </w:r>
          </w:p>
        </w:tc>
        <w:tc>
          <w:tcPr>
            <w:tcW w:type="dxa" w:w="1728"/>
            <w:vAlign w:val="center"/>
            <w:shd w:fill="E5F5EC"/>
          </w:tcPr>
          <w:p>
            <w:r/>
            <w:r>
              <w:rPr>
                <w:rFonts w:ascii="Arial" w:hAnsi="Arial"/>
                <w:b/>
                <w:sz w:val="17"/>
              </w:rPr>
              <w:t>Assessment</w:t>
            </w:r>
          </w:p>
        </w:tc>
        <w:tc>
          <w:tcPr>
            <w:tcW w:type="dxa" w:w="1728"/>
            <w:vAlign w:val="center"/>
            <w:shd w:fill="E5F5EC"/>
          </w:tcPr>
          <w:p>
            <w:r/>
            <w:r>
              <w:rPr>
                <w:rFonts w:ascii="Arial" w:hAnsi="Arial"/>
                <w:b/>
                <w:sz w:val="17"/>
              </w:rPr>
              <w:t>Practical Performance (PP)</w:t>
            </w:r>
          </w:p>
        </w:tc>
        <w:tc>
          <w:tcPr>
            <w:tcW w:type="dxa" w:w="1728"/>
            <w:vAlign w:val="center"/>
            <w:shd w:fill="E5F5EC"/>
          </w:tcPr>
          <w:p>
            <w:r/>
            <w:r>
              <w:rPr>
                <w:rFonts w:ascii="Arial" w:hAnsi="Arial"/>
                <w:b/>
                <w:sz w:val="17"/>
              </w:rPr>
              <w:t>6 tasks · A1–A7 · 3 hours</w:t>
            </w:r>
          </w:p>
        </w:tc>
        <w:tc>
          <w:tcPr>
            <w:tcW w:type="dxa" w:w="1728"/>
            <w:vAlign w:val="center"/>
            <w:shd w:fill="E5F5EC"/>
          </w:tcPr>
          <w:p>
            <w:r/>
            <w:r>
              <w:rPr>
                <w:rFonts w:ascii="Arial" w:hAnsi="Arial"/>
                <w:b/>
                <w:sz w:val="17"/>
              </w:rPr>
              <w:t>180 min</w:t>
            </w:r>
          </w:p>
        </w:tc>
      </w:tr>
    </w:tbl>
    <w:p>
      <w:r>
        <w:rPr>
          <w:i/>
        </w:rPr>
        <w:t>Scheduled time excluding lunch: 480 minutes (8.0 hours).</w:t>
      </w:r>
    </w:p>
    <w:p>
      <w:pPr>
        <w:pStyle w:val="Heading1"/>
      </w:pPr>
      <w:r>
        <w:rPr>
          <w:color w:val="00898B"/>
        </w:rPr>
        <w:t>Deck and Activity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00898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Topic</w:t>
            </w:r>
          </w:p>
        </w:tc>
        <w:tc>
          <w:tcPr>
            <w:tcW w:type="dxa" w:w="2160"/>
            <w:vAlign w:val="center"/>
            <w:shd w:fill="00898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Criteria</w:t>
            </w:r>
          </w:p>
        </w:tc>
        <w:tc>
          <w:tcPr>
            <w:tcW w:type="dxa" w:w="2160"/>
            <w:vAlign w:val="center"/>
            <w:shd w:fill="00898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Deck slides</w:t>
            </w:r>
          </w:p>
        </w:tc>
        <w:tc>
          <w:tcPr>
            <w:tcW w:type="dxa" w:w="2160"/>
            <w:vAlign w:val="center"/>
            <w:shd w:fill="00898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Activities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01 — Security Strategy and Standards for Autonomous AI Agents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K1, K2, A1, A2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19–127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Activity 01, Activity 02, Activity 03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02 — Agent Security Policies, Governance and Compliance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K3, K4, A3, A4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128–233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Activity 04, Activity 05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03 — AI Agent Risk Assessment and Security Control Evaluation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K5, K6, A5, A6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234–339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Activity 06, Activity 07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04 — Implementing and Monitoring Organisation-Wide Agent Security Operations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K7, A7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340–448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Activity 08, Activity 09, Activity 10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