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6</w:t>
      </w:r>
    </w:p>
    <w:p>
      <w:pPr>
        <w:tabs>
          <w:tab w:pos="9072" w:val="right" w:leader="dot"/>
        </w:tabs>
        <w:spacing w:after="60"/>
        <w:ind w:left="432"/>
      </w:pPr>
      <w:r>
        <w:rPr>
          <w:rFonts w:ascii="Arial" w:hAnsi="Arial"/>
          <w:b w:val="0"/>
          <w:color w:val="333333"/>
          <w:sz w:val="21"/>
        </w:rPr>
        <w:t>Learning Outcomes</w:t>
        <w:tab/>
        <w:t>6</w:t>
      </w:r>
    </w:p>
    <w:p>
      <w:pPr>
        <w:tabs>
          <w:tab w:pos="9072" w:val="right" w:leader="dot"/>
        </w:tabs>
        <w:spacing w:after="60"/>
        <w:ind w:left="432"/>
      </w:pPr>
      <w:r>
        <w:rPr>
          <w:rFonts w:ascii="Arial" w:hAnsi="Arial"/>
          <w:b w:val="0"/>
          <w:color w:val="333333"/>
          <w:sz w:val="21"/>
        </w:rPr>
        <w:t>Course Structure</w:t>
        <w:tab/>
        <w:t>6</w:t>
      </w:r>
    </w:p>
    <w:p>
      <w:pPr>
        <w:tabs>
          <w:tab w:pos="9072" w:val="right" w:leader="dot"/>
        </w:tabs>
        <w:spacing w:after="60"/>
        <w:ind w:left="432"/>
      </w:pPr>
      <w:r>
        <w:rPr>
          <w:rFonts w:ascii="Arial" w:hAnsi="Arial"/>
          <w:b w:val="0"/>
          <w:color w:val="333333"/>
          <w:sz w:val="21"/>
        </w:rPr>
        <w:t>How to Use the Lab Materials</w:t>
        <w:tab/>
        <w:t>7</w:t>
      </w:r>
    </w:p>
    <w:p>
      <w:pPr>
        <w:tabs>
          <w:tab w:pos="9072" w:val="right" w:leader="dot"/>
        </w:tabs>
        <w:spacing w:after="60"/>
      </w:pPr>
      <w:r>
        <w:rPr>
          <w:rFonts w:ascii="Arial" w:hAnsi="Arial"/>
          <w:b/>
          <w:color w:val="333333"/>
          <w:sz w:val="22"/>
        </w:rPr>
        <w:t>Before You Begin — Official SWDA AI Subscription</w:t>
        <w:tab/>
        <w:t>7</w:t>
      </w:r>
    </w:p>
    <w:p>
      <w:pPr>
        <w:tabs>
          <w:tab w:pos="9072" w:val="right" w:leader="dot"/>
        </w:tabs>
        <w:spacing w:after="60"/>
      </w:pPr>
      <w:r>
        <w:rPr>
          <w:rFonts w:ascii="Arial" w:hAnsi="Arial"/>
          <w:b/>
          <w:color w:val="333333"/>
          <w:sz w:val="22"/>
        </w:rPr>
        <w:t>Topic 1 — Human–AI Collaboration &amp; Always-On AI Agents</w:t>
        <w:tab/>
        <w:t>8</w:t>
      </w:r>
    </w:p>
    <w:p>
      <w:pPr>
        <w:tabs>
          <w:tab w:pos="9072" w:val="right" w:leader="dot"/>
        </w:tabs>
        <w:spacing w:after="60"/>
        <w:ind w:left="432"/>
      </w:pPr>
      <w:r>
        <w:rPr>
          <w:rFonts w:ascii="Arial" w:hAnsi="Arial"/>
          <w:b w:val="0"/>
          <w:color w:val="333333"/>
          <w:sz w:val="21"/>
        </w:rPr>
        <w:t>1.1 Brief history of AI</w:t>
        <w:tab/>
        <w:t>8</w:t>
      </w:r>
    </w:p>
    <w:p>
      <w:pPr>
        <w:tabs>
          <w:tab w:pos="9072" w:val="right" w:leader="dot"/>
        </w:tabs>
        <w:spacing w:after="60"/>
        <w:ind w:left="432"/>
      </w:pPr>
      <w:r>
        <w:rPr>
          <w:rFonts w:ascii="Arial" w:hAnsi="Arial"/>
          <w:b w:val="0"/>
          <w:color w:val="333333"/>
          <w:sz w:val="21"/>
        </w:rPr>
        <w:t>1.2 AI agents do the work; humans decide</w:t>
        <w:tab/>
        <w:t>8</w:t>
      </w:r>
    </w:p>
    <w:p>
      <w:pPr>
        <w:tabs>
          <w:tab w:pos="9072" w:val="right" w:leader="dot"/>
        </w:tabs>
        <w:spacing w:after="60"/>
        <w:ind w:left="432"/>
      </w:pPr>
      <w:r>
        <w:rPr>
          <w:rFonts w:ascii="Arial" w:hAnsi="Arial"/>
          <w:b w:val="0"/>
          <w:color w:val="333333"/>
          <w:sz w:val="21"/>
        </w:rPr>
        <w:t>1.3 Eight selected opportunities</w:t>
        <w:tab/>
        <w:t>9</w:t>
      </w:r>
    </w:p>
    <w:p>
      <w:pPr>
        <w:tabs>
          <w:tab w:pos="9072" w:val="right" w:leader="dot"/>
        </w:tabs>
        <w:spacing w:after="60"/>
        <w:ind w:left="432"/>
      </w:pPr>
      <w:r>
        <w:rPr>
          <w:rFonts w:ascii="Arial" w:hAnsi="Arial"/>
          <w:b w:val="0"/>
          <w:color w:val="333333"/>
          <w:sz w:val="21"/>
        </w:rPr>
        <w:t>1.4 Agentic AI and always-on AI agents</w:t>
        <w:tab/>
        <w:t>9</w:t>
      </w:r>
    </w:p>
    <w:p>
      <w:pPr>
        <w:tabs>
          <w:tab w:pos="9072" w:val="right" w:leader="dot"/>
        </w:tabs>
        <w:spacing w:after="60"/>
        <w:ind w:left="432"/>
      </w:pPr>
      <w:r>
        <w:rPr>
          <w:rFonts w:ascii="Arial" w:hAnsi="Arial"/>
          <w:b w:val="0"/>
          <w:color w:val="333333"/>
          <w:sz w:val="21"/>
        </w:rPr>
        <w:t>1.5 Harness: the system around the model</w:t>
        <w:tab/>
        <w:t>9</w:t>
      </w:r>
    </w:p>
    <w:p>
      <w:pPr>
        <w:tabs>
          <w:tab w:pos="9072" w:val="right" w:leader="dot"/>
        </w:tabs>
        <w:spacing w:after="60"/>
        <w:ind w:left="432"/>
      </w:pPr>
      <w:r>
        <w:rPr>
          <w:rFonts w:ascii="Arial" w:hAnsi="Arial"/>
          <w:b w:val="0"/>
          <w:color w:val="333333"/>
          <w:sz w:val="21"/>
        </w:rPr>
        <w:t>1.6 The Big Four — comparison from BULDRR, updated for Singapore</w:t>
        <w:tab/>
        <w:t>10</w:t>
      </w:r>
    </w:p>
    <w:p>
      <w:pPr>
        <w:tabs>
          <w:tab w:pos="9072" w:val="right" w:leader="dot"/>
        </w:tabs>
        <w:spacing w:after="60"/>
        <w:ind w:left="432"/>
      </w:pPr>
      <w:r>
        <w:rPr>
          <w:rFonts w:ascii="Arial" w:hAnsi="Arial"/>
          <w:b w:val="0"/>
          <w:color w:val="333333"/>
          <w:sz w:val="21"/>
        </w:rPr>
        <w:t>1.7 Evidence, ongoing work and human control</w:t>
        <w:tab/>
        <w:t>11</w:t>
      </w:r>
    </w:p>
    <w:p>
      <w:pPr>
        <w:tabs>
          <w:tab w:pos="9072" w:val="right" w:leader="dot"/>
        </w:tabs>
        <w:spacing w:after="60"/>
        <w:ind w:left="432"/>
      </w:pPr>
      <w:r>
        <w:rPr>
          <w:rFonts w:ascii="Arial" w:hAnsi="Arial"/>
          <w:b w:val="0"/>
          <w:color w:val="333333"/>
          <w:sz w:val="21"/>
        </w:rPr>
        <w:t>1.8 Sources and further reading</w:t>
        <w:tab/>
        <w:t>12</w:t>
      </w:r>
    </w:p>
    <w:p>
      <w:pPr>
        <w:tabs>
          <w:tab w:pos="9072" w:val="right" w:leader="dot"/>
        </w:tabs>
        <w:spacing w:after="60"/>
        <w:ind w:left="432"/>
      </w:pPr>
      <w:r>
        <w:rPr>
          <w:rFonts w:ascii="Arial" w:hAnsi="Arial"/>
          <w:b w:val="0"/>
          <w:color w:val="333333"/>
          <w:sz w:val="21"/>
        </w:rPr>
        <w:t>Lab 1 — Activity 1 — Set Up an Always-On Personal Assistant</w:t>
        <w:tab/>
        <w:t>13</w:t>
      </w:r>
    </w:p>
    <w:p>
      <w:pPr>
        <w:tabs>
          <w:tab w:pos="9072" w:val="right" w:leader="dot"/>
        </w:tabs>
        <w:spacing w:after="60"/>
        <w:ind w:left="432"/>
      </w:pPr>
      <w:r>
        <w:rPr>
          <w:rFonts w:ascii="Arial" w:hAnsi="Arial"/>
          <w:b w:val="0"/>
          <w:color w:val="333333"/>
          <w:sz w:val="21"/>
        </w:rPr>
        <w:t>Morning results review and harness consolidation</w:t>
        <w:tab/>
        <w:t>17</w:t>
      </w:r>
    </w:p>
    <w:p>
      <w:pPr>
        <w:tabs>
          <w:tab w:pos="9072" w:val="right" w:leader="dot"/>
        </w:tabs>
        <w:spacing w:after="60"/>
      </w:pPr>
      <w:r>
        <w:rPr>
          <w:rFonts w:ascii="Arial" w:hAnsi="Arial"/>
          <w:b/>
          <w:color w:val="333333"/>
          <w:sz w:val="22"/>
        </w:rPr>
        <w:t>Topic 2 — Hermes Agent — Single-Agent Office Automation, Tools &amp; Skills</w:t>
        <w:tab/>
        <w:t>17</w:t>
      </w:r>
    </w:p>
    <w:p>
      <w:pPr>
        <w:tabs>
          <w:tab w:pos="9072" w:val="right" w:leader="dot"/>
        </w:tabs>
        <w:spacing w:after="60"/>
        <w:ind w:left="432"/>
      </w:pPr>
      <w:r>
        <w:rPr>
          <w:rFonts w:ascii="Arial" w:hAnsi="Arial"/>
          <w:b w:val="0"/>
          <w:color w:val="333333"/>
          <w:sz w:val="21"/>
        </w:rPr>
        <w:t>Introducing the company scenario — at the start of the Hermes labs</w:t>
        <w:tab/>
        <w:t>17</w:t>
      </w:r>
    </w:p>
    <w:p>
      <w:pPr>
        <w:tabs>
          <w:tab w:pos="9072" w:val="right" w:leader="dot"/>
        </w:tabs>
        <w:spacing w:after="60"/>
        <w:ind w:left="432"/>
      </w:pPr>
      <w:r>
        <w:rPr>
          <w:rFonts w:ascii="Arial" w:hAnsi="Arial"/>
          <w:b w:val="0"/>
          <w:color w:val="333333"/>
          <w:sz w:val="21"/>
        </w:rPr>
        <w:t>Lab 2 — Activity 2 — Hermes Desktop, Tools, Skills &amp; the Company Brief</w:t>
        <w:tab/>
        <w:t>18</w:t>
      </w:r>
    </w:p>
    <w:p>
      <w:pPr>
        <w:tabs>
          <w:tab w:pos="9072" w:val="right" w:leader="dot"/>
        </w:tabs>
        <w:spacing w:after="60"/>
        <w:ind w:left="432"/>
      </w:pPr>
      <w:r>
        <w:rPr>
          <w:rFonts w:ascii="Arial" w:hAnsi="Arial"/>
          <w:b w:val="0"/>
          <w:color w:val="333333"/>
          <w:sz w:val="21"/>
        </w:rPr>
        <w:t>Lab 3 — Activity 3 — Hermes Gmail, Calendar, Drive &amp; Excel</w:t>
        <w:tab/>
        <w:t>23</w:t>
      </w:r>
    </w:p>
    <w:p>
      <w:pPr>
        <w:tabs>
          <w:tab w:pos="9072" w:val="right" w:leader="dot"/>
        </w:tabs>
        <w:spacing w:after="60"/>
        <w:ind w:left="432"/>
      </w:pPr>
      <w:r>
        <w:rPr>
          <w:rFonts w:ascii="Arial" w:hAnsi="Arial"/>
          <w:b w:val="0"/>
          <w:color w:val="333333"/>
          <w:sz w:val="21"/>
        </w:rPr>
        <w:t>Lab 4 — Activity 4 — Hermes Dashboard, Professional PPT &amp; Single-Agent Video</w:t>
        <w:tab/>
        <w:t>27</w:t>
      </w:r>
    </w:p>
    <w:p>
      <w:pPr>
        <w:tabs>
          <w:tab w:pos="9072" w:val="right" w:leader="dot"/>
        </w:tabs>
        <w:spacing w:after="60"/>
      </w:pPr>
      <w:r>
        <w:rPr>
          <w:rFonts w:ascii="Arial" w:hAnsi="Arial"/>
          <w:b/>
          <w:color w:val="333333"/>
          <w:sz w:val="22"/>
        </w:rPr>
        <w:t>Topic 3 — Hermes Teams &amp; OpenAI Dots — Kanban, Video &amp; Human Oversight</w:t>
        <w:tab/>
        <w:t>31</w:t>
      </w:r>
    </w:p>
    <w:p>
      <w:pPr>
        <w:tabs>
          <w:tab w:pos="9072" w:val="right" w:leader="dot"/>
        </w:tabs>
        <w:spacing w:after="60"/>
        <w:ind w:left="432"/>
      </w:pPr>
      <w:r>
        <w:rPr>
          <w:rFonts w:ascii="Arial" w:hAnsi="Arial"/>
          <w:b w:val="0"/>
          <w:color w:val="333333"/>
          <w:sz w:val="21"/>
        </w:rPr>
        <w:t>Lab 5 — Activity 5 — Hermes Bots &amp; Kanban Video Studio</w:t>
        <w:tab/>
        <w:t>32</w:t>
      </w:r>
    </w:p>
    <w:p>
      <w:pPr>
        <w:tabs>
          <w:tab w:pos="9072" w:val="right" w:leader="dot"/>
        </w:tabs>
        <w:spacing w:after="60"/>
        <w:ind w:left="432"/>
      </w:pPr>
      <w:r>
        <w:rPr>
          <w:rFonts w:ascii="Arial" w:hAnsi="Arial"/>
          <w:b w:val="0"/>
          <w:color w:val="333333"/>
          <w:sz w:val="21"/>
        </w:rPr>
        <w:t>Lab 6 — Activity 6 — Source Assurance, RAG Comparison &amp; Maintenance</w:t>
        <w:tab/>
        <w:t>36</w:t>
      </w:r>
    </w:p>
    <w:p>
      <w:pPr>
        <w:tabs>
          <w:tab w:pos="9072" w:val="right" w:leader="dot"/>
        </w:tabs>
        <w:spacing w:after="60"/>
        <w:ind w:left="432"/>
      </w:pPr>
      <w:r>
        <w:rPr>
          <w:rFonts w:ascii="Arial" w:hAnsi="Arial"/>
          <w:b w:val="0"/>
          <w:color w:val="333333"/>
          <w:sz w:val="21"/>
        </w:rPr>
        <w:t>Lab 7 — Activity 7 — OpenAI Dots: Supervised Launch Review</w:t>
        <w:tab/>
        <w:t>39</w:t>
      </w:r>
    </w:p>
    <w:p>
      <w:pPr>
        <w:tabs>
          <w:tab w:pos="9072" w:val="right" w:leader="dot"/>
        </w:tabs>
        <w:spacing w:after="60"/>
        <w:ind w:left="432"/>
      </w:pPr>
      <w:r>
        <w:rPr>
          <w:rFonts w:ascii="Arial" w:hAnsi="Arial"/>
          <w:b w:val="0"/>
          <w:color w:val="333333"/>
          <w:sz w:val="21"/>
        </w:rPr>
        <w:t>Lab 8 — Activity 8 — Revise, Verify &amp; Release the Team Video Locally</w:t>
        <w:tab/>
        <w:t>42</w:t>
      </w:r>
    </w:p>
    <w:p>
      <w:pPr>
        <w:tabs>
          <w:tab w:pos="9072" w:val="right" w:leader="dot"/>
        </w:tabs>
        <w:spacing w:after="60"/>
      </w:pPr>
      <w:r>
        <w:rPr>
          <w:rFonts w:ascii="Arial" w:hAnsi="Arial"/>
          <w:b/>
          <w:color w:val="333333"/>
          <w:sz w:val="22"/>
        </w:rPr>
        <w:t>Assessment Preparation</w:t>
        <w:tab/>
        <w:t>46</w:t>
      </w:r>
    </w:p>
    <w:p>
      <w:pPr>
        <w:tabs>
          <w:tab w:pos="9072" w:val="right" w:leader="dot"/>
        </w:tabs>
        <w:spacing w:after="60"/>
      </w:pPr>
      <w:r>
        <w:rPr>
          <w:rFonts w:ascii="Arial" w:hAnsi="Arial"/>
          <w:b/>
          <w:color w:val="333333"/>
          <w:sz w:val="22"/>
        </w:rPr>
        <w:t>Glossary</w:t>
        <w:tab/>
        <w:t>46</w:t>
      </w:r>
      <w:r>
        <w:fldChar w:fldCharType="end"/>
      </w:r>
    </w:p>
    <w:p>
      <w:r>
        <w:br w:type="page"/>
      </w:r>
    </w:p>
    <w:p>
      <w:pPr>
        <w:pStyle w:val="Heading1"/>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two human–AI work modes; Agent harness, loop, context and human decisions; Big Four: Duet, Muse, Grok Bot and Dots; Activity 1 · Set up an always-on assistant; Activity 1: set up an always-on assistant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uses a neutral training schedule/email scenario. At Activity 2, create one ~/kopi-kaki workspace for the company labs and preserve the documented shared output paths for Day 2.</w:t>
      </w:r>
    </w:p>
    <w:p>
      <w:pPr>
        <w:pStyle w:val="ListNumber"/>
      </w:pPr>
      <w:r>
        <w:t>Finish each lab with its checkpoint: evidence, not vibes.</w:t>
      </w:r>
    </w:p>
    <w:p>
      <w:pPr>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pPr>
      <w:r>
        <w:t>Topic 1 — Human–AI Collaboration &amp; Always-On AI Agents</w:t>
      </w:r>
    </w:p>
    <w:p>
      <w:pPr>
        <w:pStyle w:val="Heading2"/>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pPr>
      <w:r>
        <w:t>1.2 AI agents do the work; humans decide</w:t>
      </w:r>
    </w:p>
    <w:p>
      <w:r>
        <w:t>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pPr>
      <w:r>
        <w:t>1.3 Eight selected opportunities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AI work</w:t>
            </w:r>
          </w:p>
        </w:tc>
        <w:tc>
          <w:tcPr>
            <w:tcW w:type="dxa" w:w="2880"/>
            <w:shd w:val="clear" w:color="auto" w:fill="1F6FEB"/>
          </w:tcPr>
          <w:p>
            <w:r/>
            <w:r>
              <w:rPr>
                <w:b/>
                <w:color w:val="FFFFFF"/>
                <w:sz w:val="19"/>
              </w:rPr>
              <w:t>Human decision / acceptance</w:t>
            </w:r>
          </w:p>
        </w:tc>
      </w:tr>
      <w:tr>
        <w:tc>
          <w:tcPr>
            <w:tcW w:type="dxa" w:w="2880"/>
          </w:tcPr>
          <w:p>
            <w:r/>
            <w:r>
              <w:rPr>
                <w:sz w:val="19"/>
              </w:rPr>
              <w:t>Schedule + inbox</w:t>
            </w:r>
          </w:p>
        </w:tc>
        <w:tc>
          <w:tcPr>
            <w:tcW w:type="dxa" w:w="2880"/>
          </w:tcPr>
          <w:p>
            <w:r/>
            <w:r>
              <w:rPr>
                <w:sz w:val="19"/>
              </w:rPr>
              <w:t>Read assigned records and propose a reply</w:t>
            </w:r>
          </w:p>
        </w:tc>
        <w:tc>
          <w:tcPr>
            <w:tcW w:type="dxa" w:w="2880"/>
          </w:tcPr>
          <w:p>
            <w:r/>
            <w:r>
              <w:rPr>
                <w:sz w:val="19"/>
              </w:rPr>
              <w:t>Check actual event/message and approve wording</w:t>
            </w:r>
          </w:p>
        </w:tc>
      </w:tr>
      <w:tr>
        <w:tc>
          <w:tcPr>
            <w:tcW w:type="dxa" w:w="2880"/>
          </w:tcPr>
          <w:p>
            <w:r/>
            <w:r>
              <w:rPr>
                <w:sz w:val="19"/>
              </w:rPr>
              <w:t>Travel planning</w:t>
            </w:r>
          </w:p>
        </w:tc>
        <w:tc>
          <w:tcPr>
            <w:tcW w:type="dxa" w:w="2880"/>
          </w:tcPr>
          <w:p>
            <w:r/>
            <w:r>
              <w:rPr>
                <w:sz w:val="19"/>
              </w:rPr>
              <w:t>Compare routes and constraints</w:t>
            </w:r>
          </w:p>
        </w:tc>
        <w:tc>
          <w:tcPr>
            <w:tcW w:type="dxa" w:w="2880"/>
          </w:tcPr>
          <w:p>
            <w:r/>
            <w:r>
              <w:rPr>
                <w:sz w:val="19"/>
              </w:rPr>
              <w:t>Confirm current options before booking</w:t>
            </w:r>
          </w:p>
        </w:tc>
      </w:tr>
      <w:tr>
        <w:tc>
          <w:tcPr>
            <w:tcW w:type="dxa" w:w="2880"/>
          </w:tcPr>
          <w:p>
            <w:r/>
            <w:r>
              <w:rPr>
                <w:sz w:val="19"/>
              </w:rPr>
              <w:t>Management analyst</w:t>
            </w:r>
          </w:p>
        </w:tc>
        <w:tc>
          <w:tcPr>
            <w:tcW w:type="dxa" w:w="2880"/>
          </w:tcPr>
          <w:p>
            <w:r/>
            <w:r>
              <w:rPr>
                <w:sz w:val="19"/>
              </w:rPr>
              <w:t>Reconcile workbook; create dashboard and PPT</w:t>
            </w:r>
          </w:p>
        </w:tc>
        <w:tc>
          <w:tcPr>
            <w:tcW w:type="dxa" w:w="2880"/>
          </w:tcPr>
          <w:p>
            <w:r/>
            <w:r>
              <w:rPr>
                <w:sz w:val="19"/>
              </w:rPr>
              <w:t>Choose action and verify totals</w:t>
            </w:r>
          </w:p>
        </w:tc>
      </w:tr>
      <w:tr>
        <w:tc>
          <w:tcPr>
            <w:tcW w:type="dxa" w:w="2880"/>
          </w:tcPr>
          <w:p>
            <w:r/>
            <w:r>
              <w:rPr>
                <w:sz w:val="19"/>
              </w:rPr>
              <w:t>Accounting assistant</w:t>
            </w:r>
          </w:p>
        </w:tc>
        <w:tc>
          <w:tcPr>
            <w:tcW w:type="dxa" w:w="2880"/>
          </w:tcPr>
          <w:p>
            <w:r/>
            <w:r>
              <w:rPr>
                <w:sz w:val="19"/>
              </w:rPr>
              <w:t>Match invoices and flag differences</w:t>
            </w:r>
          </w:p>
        </w:tc>
        <w:tc>
          <w:tcPr>
            <w:tcW w:type="dxa" w:w="2880"/>
          </w:tcPr>
          <w:p>
            <w:r/>
            <w:r>
              <w:rPr>
                <w:sz w:val="19"/>
              </w:rPr>
              <w:t>Accountant approves adjustments</w:t>
            </w:r>
          </w:p>
        </w:tc>
      </w:tr>
      <w:tr>
        <w:tc>
          <w:tcPr>
            <w:tcW w:type="dxa" w:w="2880"/>
          </w:tcPr>
          <w:p>
            <w:r/>
            <w:r>
              <w:rPr>
                <w:sz w:val="19"/>
              </w:rPr>
              <w:t>Software engineer</w:t>
            </w:r>
          </w:p>
        </w:tc>
        <w:tc>
          <w:tcPr>
            <w:tcW w:type="dxa" w:w="2880"/>
          </w:tcPr>
          <w:p>
            <w:r/>
            <w:r>
              <w:rPr>
                <w:sz w:val="19"/>
              </w:rPr>
              <w:t>Implement bounded changes and run checks</w:t>
            </w:r>
          </w:p>
        </w:tc>
        <w:tc>
          <w:tcPr>
            <w:tcW w:type="dxa" w:w="2880"/>
          </w:tcPr>
          <w:p>
            <w:r/>
            <w:r>
              <w:rPr>
                <w:sz w:val="19"/>
              </w:rPr>
              <w:t>Reviewer accepts design and release</w:t>
            </w:r>
          </w:p>
        </w:tc>
      </w:tr>
      <w:tr>
        <w:tc>
          <w:tcPr>
            <w:tcW w:type="dxa" w:w="2880"/>
          </w:tcPr>
          <w:p>
            <w:r/>
            <w:r>
              <w:rPr>
                <w:sz w:val="19"/>
              </w:rPr>
              <w:t>AI + scientist</w:t>
            </w:r>
          </w:p>
        </w:tc>
        <w:tc>
          <w:tcPr>
            <w:tcW w:type="dxa" w:w="2880"/>
          </w:tcPr>
          <w:p>
            <w:r/>
            <w:r>
              <w:rPr>
                <w:sz w:val="19"/>
              </w:rPr>
              <w:t>Generate and critique hypotheses</w:t>
            </w:r>
          </w:p>
        </w:tc>
        <w:tc>
          <w:tcPr>
            <w:tcW w:type="dxa" w:w="2880"/>
          </w:tcPr>
          <w:p>
            <w:r/>
            <w:r>
              <w:rPr>
                <w:sz w:val="19"/>
              </w:rPr>
              <w:t>Scientist validates experimentally</w:t>
            </w:r>
          </w:p>
        </w:tc>
      </w:tr>
      <w:tr>
        <w:tc>
          <w:tcPr>
            <w:tcW w:type="dxa" w:w="2880"/>
          </w:tcPr>
          <w:p>
            <w:r/>
            <w:r>
              <w:rPr>
                <w:sz w:val="19"/>
              </w:rPr>
              <w:t>Video team</w:t>
            </w:r>
          </w:p>
        </w:tc>
        <w:tc>
          <w:tcPr>
            <w:tcW w:type="dxa" w:w="2880"/>
          </w:tcPr>
          <w:p>
            <w:r/>
            <w:r>
              <w:rPr>
                <w:sz w:val="19"/>
              </w:rPr>
              <w:t>Research, storyboard, render and audit</w:t>
            </w:r>
          </w:p>
        </w:tc>
        <w:tc>
          <w:tcPr>
            <w:tcW w:type="dxa" w:w="2880"/>
          </w:tcPr>
          <w:p>
            <w:r/>
            <w:r>
              <w:rPr>
                <w:sz w:val="19"/>
              </w:rPr>
              <w:t>Approve exact scenes and final MP4</w:t>
            </w:r>
          </w:p>
        </w:tc>
      </w:tr>
      <w:tr>
        <w:tc>
          <w:tcPr>
            <w:tcW w:type="dxa" w:w="2880"/>
          </w:tcPr>
          <w:p>
            <w:r/>
            <w:r>
              <w:rPr>
                <w:sz w:val="19"/>
              </w:rPr>
              <w:t>Humanoid + technician</w:t>
            </w:r>
          </w:p>
        </w:tc>
        <w:tc>
          <w:tcPr>
            <w:tcW w:type="dxa" w:w="2880"/>
          </w:tcPr>
          <w:p>
            <w:r/>
            <w:r>
              <w:rPr>
                <w:sz w:val="19"/>
              </w:rPr>
              <w:t>Bounded tool delivery or inspection support</w:t>
            </w:r>
          </w:p>
        </w:tc>
        <w:tc>
          <w:tcPr>
            <w:tcW w:type="dxa" w:w="2880"/>
          </w:tcPr>
          <w:p>
            <w:r/>
            <w:r>
              <w:rPr>
                <w:sz w:val="19"/>
              </w:rPr>
              <w:t>Task-specific safety, stop and recovery; future design scenario</w:t>
            </w:r>
          </w:p>
        </w:tc>
      </w:tr>
    </w:tbl>
    <w:p>
      <w:pPr>
        <w:spacing w:after="40"/>
      </w:pPr>
    </w:p>
    <w:p>
      <w:r>
        <w:t>Scientific hypotheses require experimental validation; a generated proposal is not a discovery. Embodied systems add sensing and physical action: manufacturer demos, controlled pilots and validated deployments are different levels of evidence. The humanoid scenario here is prospective, not a claim of general workplace readiness.</w:t>
      </w:r>
    </w:p>
    <w:p>
      <w:pPr>
        <w:pStyle w:val="Heading2"/>
      </w:pPr>
      <w:r>
        <w:t>1.4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r>
        <w:t>OpenClaw → Hermes → hosted agents such as Dots, Muse, Duet and Grok Bot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pPr>
        <w:pStyle w:val="Heading2"/>
      </w:pPr>
      <w:r>
        <w:t>1.5 Harness: the system around the model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2"/>
      </w:pPr>
      <w:r>
        <w:t>1.6 The Big Four — comparison from BULDRR, updated for Singapore</w:t>
      </w:r>
    </w:p>
    <w:p>
      <w:r>
        <w:t>Use the requested BULDRR article's job-fit, control, access and limits framework.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w:t>
            </w:r>
          </w:p>
        </w:tc>
        <w:tc>
          <w:tcPr>
            <w:tcW w:type="dxa" w:w="2880"/>
            <w:shd w:val="clear" w:color="auto" w:fill="1F6FEB"/>
          </w:tcPr>
          <w:p>
            <w:r/>
            <w:r>
              <w:rPr>
                <w:b/>
                <w:color w:val="FFFFFF"/>
                <w:sz w:val="19"/>
              </w:rPr>
              <w:t>Useful starting job</w:t>
            </w:r>
          </w:p>
        </w:tc>
        <w:tc>
          <w:tcPr>
            <w:tcW w:type="dxa" w:w="2880"/>
            <w:shd w:val="clear" w:color="auto" w:fill="1F6FEB"/>
          </w:tcPr>
          <w:p>
            <w:r/>
            <w:r>
              <w:rPr>
                <w:b/>
                <w:color w:val="FFFFFF"/>
                <w:sz w:val="19"/>
              </w:rPr>
              <w:t>Control / access checkpoint</w:t>
            </w:r>
          </w:p>
        </w:tc>
      </w:tr>
      <w:tr>
        <w:tc>
          <w:tcPr>
            <w:tcW w:type="dxa" w:w="2880"/>
          </w:tcPr>
          <w:p>
            <w:r/>
            <w:r>
              <w:rPr>
                <w:sz w:val="19"/>
              </w:rPr>
              <w:t>Claude Duet</w:t>
            </w:r>
          </w:p>
        </w:tc>
        <w:tc>
          <w:tcPr>
            <w:tcW w:type="dxa" w:w="2880"/>
          </w:tcPr>
          <w:p>
            <w:r/>
            <w:r>
              <w:rPr>
                <w:sz w:val="19"/>
              </w:rPr>
              <w:t>Work briefs and proactive business follow-ups</w:t>
            </w:r>
          </w:p>
        </w:tc>
        <w:tc>
          <w:tcPr>
            <w:tcW w:type="dxa" w:w="2880"/>
          </w:tcPr>
          <w:p>
            <w:r/>
            <w:r>
              <w:rPr>
                <w:sz w:val="19"/>
              </w:rPr>
              <w:t>Sensitive-action approval and prohibited actions; eligible US Pro/Max waitlist research preview</w:t>
            </w:r>
          </w:p>
        </w:tc>
      </w:tr>
      <w:tr>
        <w:tc>
          <w:tcPr>
            <w:tcW w:type="dxa" w:w="2880"/>
          </w:tcPr>
          <w:p>
            <w:r/>
            <w:r>
              <w:rPr>
                <w:sz w:val="19"/>
              </w:rPr>
              <w:t>Meta Muse</w:t>
            </w:r>
          </w:p>
        </w:tc>
        <w:tc>
          <w:tcPr>
            <w:tcW w:type="dxa" w:w="2880"/>
          </w:tcPr>
          <w:p>
            <w:r/>
            <w:r>
              <w:rPr>
                <w:sz w:val="19"/>
              </w:rPr>
              <w:t>Personal tasks, email and scheduling</w:t>
            </w:r>
          </w:p>
        </w:tc>
        <w:tc>
          <w:tcPr>
            <w:tcW w:type="dxa" w:w="2880"/>
          </w:tcPr>
          <w:p>
            <w:r/>
            <w:r>
              <w:rPr>
                <w:sz w:val="19"/>
              </w:rPr>
              <w:t>Connector permissions and sensitive-action review; Singapore launch 27 October 2026; free core use</w:t>
            </w:r>
          </w:p>
        </w:tc>
      </w:tr>
      <w:tr>
        <w:tc>
          <w:tcPr>
            <w:tcW w:type="dxa" w:w="2880"/>
          </w:tcPr>
          <w:p>
            <w:r/>
            <w:r>
              <w:rPr>
                <w:sz w:val="19"/>
              </w:rPr>
              <w:t>Grok Bot</w:t>
            </w:r>
          </w:p>
        </w:tc>
        <w:tc>
          <w:tcPr>
            <w:tcW w:type="dxa" w:w="2880"/>
          </w:tcPr>
          <w:p>
            <w:r/>
            <w:r>
              <w:rPr>
                <w:sz w:val="19"/>
              </w:rPr>
              <w:t>Named workers and ongoing shared work</w:t>
            </w:r>
          </w:p>
        </w:tc>
        <w:tc>
          <w:tcPr>
            <w:tcW w:type="dxa" w:w="2880"/>
          </w:tcPr>
          <w:p>
            <w:r/>
            <w:r>
              <w:rPr>
                <w:sz w:val="19"/>
              </w:rPr>
              <w:t>Inspect approvals; bots in one user share cloud computer/logins; verify eligible account</w:t>
            </w:r>
          </w:p>
        </w:tc>
      </w:tr>
      <w:tr>
        <w:tc>
          <w:tcPr>
            <w:tcW w:type="dxa" w:w="2880"/>
          </w:tcPr>
          <w:p>
            <w:r/>
            <w:r>
              <w:rPr>
                <w:sz w:val="19"/>
              </w:rPr>
              <w:t>OpenAI Dots</w:t>
            </w:r>
          </w:p>
        </w:tc>
        <w:tc>
          <w:tcPr>
            <w:tcW w:type="dxa" w:w="2880"/>
          </w:tcPr>
          <w:p>
            <w:r/>
            <w:r>
              <w:rPr>
                <w:sz w:val="19"/>
              </w:rPr>
              <w:t>Persistent goals and delegated tasks in ChatGPT</w:t>
            </w:r>
          </w:p>
        </w:tc>
        <w:tc>
          <w:tcPr>
            <w:tcW w:type="dxa" w:w="2880"/>
          </w:tcPr>
          <w:p>
            <w:r/>
            <w:r>
              <w:rPr>
                <w:sz w:val="19"/>
              </w:rPr>
              <w:t>Inspect connections, custom rules and active tasks; verify eligible Pro/Business Premium workspace</w:t>
            </w:r>
          </w:p>
        </w:tc>
      </w:tr>
    </w:tbl>
    <w:p>
      <w:pPr>
        <w:spacing w:after="40"/>
      </w:pP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3"/>
      </w:pPr>
      <w:r>
        <w:t>News added to the PPT: Muse is available in Singapore</w:t>
      </w:r>
    </w:p>
    <w:p>
      <w:r>
        <w:t>Meta's official announcement dated 27 October 2026 confirms Singapore availability, Gmail/Google Calendar/Instagram connections, sensitive-action approval and free core use with optional subscriptions. Local partner features roll out progressively. This supersedes the article's earlier Muse regional information; inspect what is actually available in each account. Muse is the recommended morning route, with provisioned Dots or Grok Bot as alternatives.</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r>
        <w:t>Setup: install the official Meta developer app, sign in, then Settings → Connectors → Connect beside Gmail → Continue → browser authorization. Repeat for Google Calendar and verify the assigned identity in both services. You can also ask Muse to connect Gmail/Calendar. Keep sensitive-action approval enabled; use retrieve-only permissions where offered. Activity 1 provides all three guided routes and requires execution of one accessible route.</w:t>
      </w:r>
    </w:p>
    <w:p>
      <w:r>
        <w:rPr>
          <w:color w:val="6B6862"/>
          <w:sz w:val="17"/>
        </w:rPr>
        <w:t>Muse connector steps: https://www.meta.com/help/superintelligence/1687253048996149/</w:t>
      </w:r>
    </w:p>
    <w:p>
      <w:pPr>
        <w:pStyle w:val="Heading2"/>
      </w:pPr>
      <w:r>
        <w:t>1.7 Evidence, ongoing work and human control</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3"/>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pPr>
        <w:pStyle w:val="Heading2"/>
      </w:pPr>
      <w:r>
        <w:t>1.8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2"/>
      </w:pPr>
      <w:r>
        <w:t>Lab 1 — Activity 1 — Set Up an Always-On Personal Assistant</w:t>
      </w:r>
    </w:p>
    <w:p>
      <w:r>
        <w:rPr>
          <w:b/>
        </w:rPr>
        <w:t>Day 1 · 75 min · Personal assistant + human decisions · LO1</w:t>
      </w:r>
      <w:r>
        <w:t xml:space="preserve"> — Connect one accessible always-on assistant, check your training schedule and draft an email.</w:t>
      </w:r>
    </w:p>
    <w:p>
      <w:pPr>
        <w:pStyle w:val="Heading3"/>
      </w:pPr>
      <w:r>
        <w:t>Business scenario</w:t>
      </w:r>
    </w:p>
    <w:p>
      <w:r>
        <w:t>You need help preparing for a training meeting. Use only a trainer-assigned Google account with synthetic mail and events. This neutral personal-assistant exercise precedes the afternoon company scenario.</w:t>
      </w:r>
    </w:p>
    <w:p>
      <w:pPr>
        <w:pStyle w:val="Heading3"/>
      </w:pPr>
      <w:r>
        <w:t>Goal</w:t>
      </w:r>
    </w:p>
    <w:p>
      <w:r>
        <w:t>Inspect one always-on agent’s real access, actions, strengths and limitations; retain own-work evidence for PP Task 1 (LO1).</w:t>
      </w:r>
    </w:p>
    <w:p>
      <w:pPr>
        <w:pStyle w:val="Heading3"/>
      </w:pPr>
      <w:r>
        <w:t>Before you start</w:t>
      </w:r>
    </w:p>
    <w:p>
      <w:pPr>
        <w:pStyle w:val="ListBullet"/>
      </w:pPr>
      <w:r>
        <w:t>Trainer seeds synthetic schedule and email in an assigned training Google account, supplied privately</w:t>
      </w:r>
    </w:p>
    <w:p>
      <w:pPr>
        <w:pStyle w:val="ListBullet"/>
      </w:pPr>
      <w:r>
        <w:t>Muse available in Singapore from 27 October 2026; check installed app, age/account eligibility and connector availability</w:t>
      </w:r>
    </w:p>
    <w:p>
      <w:pPr>
        <w:pStyle w:val="ListBullet"/>
      </w:pPr>
      <w:r>
        <w:t>Dots/Grok Bot require actual eligible access; no purchase or SWDA redemption is a prerequisite</w:t>
      </w:r>
    </w:p>
    <w:p>
      <w:pPr>
        <w:pStyle w:val="ListBullet"/>
      </w:pPr>
      <w:r>
        <w:t>Execute one accessible route. Observe the other two or record unavailable; a demonstration is not your own execution.</w:t>
      </w:r>
    </w:p>
    <w:p>
      <w:pPr>
        <w:jc w:val="center"/>
      </w:pPr>
      <w:r>
        <w:drawing>
          <wp:inline xmlns:a="http://schemas.openxmlformats.org/drawingml/2006/main" xmlns:pic="http://schemas.openxmlformats.org/drawingml/2006/picture">
            <wp:extent cx="4572000" cy="1752600"/>
            <wp:docPr id="3" name="Picture 3"/>
            <wp:cNvGraphicFramePr>
              <a:graphicFrameLocks noChangeAspect="1"/>
            </wp:cNvGraphicFramePr>
            <a:graphic>
              <a:graphicData uri="http://schemas.openxmlformats.org/drawingml/2006/picture">
                <pic:pic>
                  <pic:nvPicPr>
                    <pic:cNvPr id="0" name="activity-01.png"/>
                    <pic:cNvPicPr/>
                  </pic:nvPicPr>
                  <pic:blipFill>
                    <a:blip r:embed="rId11"/>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chosen accessible route: Meta Muse (recommended in Singapore), OpenAI Dots or Grok Bot</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pPr>
      <w:r>
        <w:t>Lab files</w:t>
      </w:r>
    </w:p>
    <w:p>
      <w:r>
        <w:t>labs/lab01-always-on-personal-assistants/ — README.md, LAB-01-Instructions.pdf, COPY-PROMPTS.txt and data/. Use the neutral training account for Activity 1; copy company data into ~/kopi-kaki from Activity 2.</w:t>
      </w:r>
    </w:p>
    <w:p>
      <w:pPr>
        <w:pStyle w:val="Heading3"/>
      </w:pPr>
      <w:r>
        <w:t>Step-by-step</w:t>
      </w:r>
    </w:p>
    <w:p>
      <w:r>
        <w:rPr>
          <w:b/>
        </w:rPr>
        <w:t>Step 1 — Choose one route and verify access (5 min)</w:t>
      </w:r>
    </w:p>
    <w:p>
      <w:r>
        <w:t>Use Muse first in Singapore. Trainer demonstrates all three routes below; learners execute one. Compare access to the actual agent product, not just the provider’s ordinary chatbot. Use only the assigned Google account. Record inaccessible routes without claiming success.</w:t>
      </w:r>
    </w:p>
    <w:p>
      <w:r>
        <w:t>✓ Expected: One eligible route selected; account and connection limits recorded.</w:t>
      </w:r>
    </w:p>
    <w:p>
      <w:r>
        <w:rPr>
          <w:b/>
        </w:rPr>
        <w:t>Step 2 — Route A — install Meta Muse and connect (15 min)</w:t>
      </w:r>
    </w:p>
    <w:p>
      <w:r>
        <w:t>Official Singapore launch: https://about.fb.com/news/2026/10/muse-is-now-available-in-singapore-the-worlds-first-personal-ai-agent-built-for-everyone/ . iOS: https://apps.apple.com/sg/app/muse-from-meta/id6760173601 . Android: https://play.google.com/store/apps/details?gl=sg&amp;id=com.facebook.aura . Web: https://muse.ai . Open the official listing and confirm developer Meta Platforms, Inc.; install/open, complete app sign-in and onboarding. In Muse go to Settings → Connectors → Connect beside Gmail → Continue, then finish Google authorization in the browser. Repeat separately for Google Calendar, confirming the assigned account each time. Alternatively ask “Connect my Gmail” and “Connect my Google Calendar”. Prefer retrieve-only access where offered; retain approval for sensitive actions. Free core access does not mean unlimited usage or every local connector is live.</w:t>
      </w:r>
    </w:p>
    <w:p>
      <w:r>
        <w:t>✓ Expected: Gmail and Calendar show connected to the assigned account, or each missing connector is explicitly recorded.</w:t>
      </w:r>
    </w:p>
    <w:p>
      <w:r>
        <w:rPr>
          <w:b/>
        </w:rPr>
        <w:t>Step 3 — Route B — set up an OpenAI Dot (guided alternative)</w:t>
      </w:r>
    </w:p>
    <w:p>
      <w:r>
        <w:t>Open https://chatgpt.com/dots with a trainer-approved eligible account/workspace. Create a dot, choose a name and describe the bounded assistant task. Open its connections/plugins, install/connect Gmail and Google Calendar separately and authorize the assigned account in the provider browser. Inspect what each connection can read/change and retain sensitive-action review. Only enable local-computer access if the task requires it. Ordinary ChatGPT access, a consumer free subscription or SWDA benefit does not establish Dots entitlement. Official steps: https://learn.chatgpt.com/docs/dots/getting-started and /computers-and-apps .</w:t>
      </w:r>
    </w:p>
    <w:p>
      <w:r>
        <w:t>✓ Expected: An actual dot and two verified connections, or an honest access block.</w:t>
      </w:r>
    </w:p>
    <w:p>
      <w:r>
        <w:rPr>
          <w:b/>
        </w:rPr>
        <w:t>Step 4 — Route C — set up Grok Bot (guided alternative)</w:t>
      </w:r>
    </w:p>
    <w:p>
      <w:r>
        <w:t>Start at https://x.ai/bot and follow the official desktop download/sign-in instructions for the eligible Cursor/Grok account. Create a bot if one is not already present: sidebar + → Create a Bot → name → Create. Open Connect apps, add Gmail and authorize in the browser; repeat for Google Calendar and inspect Installed. Mobile route: official iOS https://apps.apple.com/us/app/grok-bot/id6794501026 or Android https://play.google.com/store/apps/details?id=ai.x.grok.bot ; avatar → Connect apps. Do not turn on Always Allow for sends. Bots in one user account share a cloud computer and logins; separate bot names are not credential isolation. Official: https://docs.x.ai/grok-bot/get-started and /computer-and-apps .</w:t>
      </w:r>
    </w:p>
    <w:p>
      <w:r>
        <w:t>✓ Expected: An actual Grok Bot and verified connections, or an honest access block.</w:t>
      </w:r>
    </w:p>
    <w:p>
      <w:r>
        <w:rPr>
          <w:b/>
        </w:rPr>
        <w:t>Step 5 — Read the training schedule and selected email (15 min)</w:t>
      </w:r>
    </w:p>
    <w:p>
      <w:r>
        <w:t xml:space="preserve">Prompt — paste into </w:t>
      </w:r>
      <w:r>
        <w:rPr>
          <w:i/>
        </w:rPr>
        <w:t>Your chosen always-on assistant</w:t>
      </w:r>
      <w:r>
        <w:t>:</w:t>
      </w:r>
    </w:p>
    <w:p>
      <w:pPr>
        <w:spacing w:after="0"/>
        <w:ind w:left="216"/>
        <w:shd w:val="clear" w:color="auto" w:fill="F3F1EB"/>
      </w:pPr>
      <w:r>
        <w:rPr>
          <w:rFonts w:ascii="Consolas" w:hAnsi="Consolas"/>
          <w:sz w:val="18"/>
        </w:rPr>
        <w:t>Use only my assigned training Google account. Check today’s Google Calendar events in Asia/Singapore and at most five training emails about the course meeting. Show event start/end/time zone and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6 — Draft, challenge and revise an email (15 min)</w:t>
      </w:r>
    </w:p>
    <w:p>
      <w:r>
        <w:t xml:space="preserve">Prompt — paste into </w:t>
      </w:r>
      <w:r>
        <w:rPr>
          <w:i/>
        </w:rPr>
        <w:t>Same chosen assistant</w:t>
      </w:r>
      <w:r>
        <w:t>:</w:t>
      </w:r>
    </w:p>
    <w:p>
      <w:pPr>
        <w:spacing w:after="0"/>
        <w:ind w:left="216"/>
        <w:shd w:val="clear" w:color="auto" w:fill="F3F1EB"/>
      </w:pPr>
      <w:r>
        <w:rPr>
          <w:rFonts w:ascii="Consolas" w:hAnsi="Consolas"/>
          <w:sz w:val="18"/>
        </w:rPr>
        <w:t>Draft a concise reply about the training meeting using only the schedule and message you verified.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7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accessible assistant route executed with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Dots/Grok not entitled</w:t>
            </w:r>
          </w:p>
        </w:tc>
        <w:tc>
          <w:tcPr>
            <w:tcW w:type="dxa" w:w="4320"/>
          </w:tcPr>
          <w:p>
            <w:r/>
            <w:r>
              <w:rPr>
                <w:sz w:val="19"/>
              </w:rPr>
              <w:t>Use trainer-provisioned eligible access or Muse. Record observation honestly;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pPr>
      <w:r>
        <w:t>Stretch challenge</w:t>
      </w:r>
    </w:p>
    <w:p>
      <w:r>
        <w:t>Compare the same task on a second accessible route: source accuracy, approval controls, elapsed time and human effort.</w:t>
      </w:r>
    </w:p>
    <w:p>
      <w:pPr>
        <w:pStyle w:val="Heading2"/>
      </w:pPr>
      <w:r>
        <w:t>Morning results review and harness consolidation</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 before lunch.</w:t>
      </w:r>
    </w:p>
    <w:p>
      <w:pPr>
        <w:pStyle w:val="Heading1"/>
      </w:pPr>
      <w:r>
        <w:t>Topic 2 — Hermes Agent — Single-Agent Office Automation, Tools &amp; Skills</w:t>
      </w:r>
    </w:p>
    <w:p>
      <w:pPr>
        <w:pStyle w:val="Heading2"/>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hermes-dashboard.png"/>
                    <pic:cNvPicPr/>
                  </pic:nvPicPr>
                  <pic:blipFill>
                    <a:blip r:embed="rId12"/>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pPr>
      <w:r>
        <w:t>Goal</w:t>
      </w:r>
    </w:p>
    <w:p>
      <w:r>
        <w:t>Install Hermes Desktop, load reviewed office/video skills, verify tools and produce the source-linked company brief (LO1/LO2).</w:t>
      </w:r>
    </w:p>
    <w:p>
      <w:pPr>
        <w:pStyle w:val="Heading3"/>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pPr>
      <w:r>
        <w:t>Approved course skills/data downloaded; preserve existing AGENTS.md; do not copy credentials into the workspace</w:t>
      </w:r>
    </w:p>
    <w:p>
      <w:pPr>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2.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pPr>
      <w:r>
        <w:t>Lab files</w:t>
      </w:r>
    </w:p>
    <w:p>
      <w:r>
        <w:t>labs/lab02-hermes-desktop-skills/ — README.md, LAB-02-Instructions.pdf, COPY-PROMPTS.txt and data/. Use the neutral training account for Activity 1; copy company data into ~/kopi-kaki from Activity 2.</w:t>
      </w:r>
    </w:p>
    <w:p>
      <w:pPr>
        <w:pStyle w:val="Heading3"/>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v2.3; it does not replace the morning assistant screenshot.</w:t>
      </w:r>
    </w:p>
    <w:p>
      <w:r>
        <w:t>✓ Expected: Fresh-session recall checked; source IDs and decision agree.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pPr>
      <w:r>
        <w:t>Stretch challenge</w:t>
      </w:r>
    </w:p>
    <w:p>
      <w:r>
        <w:t>Ask Mia: "Save the review-analysis procedure you just used as a reusable skill called review-insights." Then run `hermes skills list` — a self-improving agent turns experience into procedural memory.</w:t>
      </w:r>
    </w:p>
    <w:p>
      <w:pPr>
        <w:pStyle w:val="Heading2"/>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Read assigned Gmail, Calendar and Drive records and analyse the Excel source using one Hermes agent (LO2).</w:t>
      </w:r>
    </w:p>
    <w:p>
      <w:pPr>
        <w:pStyle w:val="Heading3"/>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pPr>
      <w:r>
        <w:t>All tool binaries, Python environment and account consent are preflighted before the 50-minute Google/Excel exercise.</w:t>
      </w:r>
    </w:p>
    <w:p>
      <w:pPr>
        <w:jc w:val="center"/>
      </w:pPr>
      <w:r>
        <w:drawing>
          <wp:inline xmlns:a="http://schemas.openxmlformats.org/drawingml/2006/main" xmlns:pic="http://schemas.openxmlformats.org/drawingml/2006/picture">
            <wp:extent cx="4572000" cy="1752600"/>
            <wp:docPr id="6" name="Picture 6"/>
            <wp:cNvGraphicFramePr>
              <a:graphicFrameLocks noChangeAspect="1"/>
            </wp:cNvGraphicFramePr>
            <a:graphic>
              <a:graphicData uri="http://schemas.openxmlformats.org/drawingml/2006/picture">
                <pic:pic>
                  <pic:nvPicPr>
                    <pic:cNvPr id="0" name="activity-03.png"/>
                    <pic:cNvPicPr/>
                  </pic:nvPicPr>
                  <pic:blipFill>
                    <a:blip r:embed="rId14"/>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labs/lab03-hermes-google-office/ — README.md, LAB-03-Instructions.pdf, COPY-PROMPTS.txt and data/. Use the neutral training account for Activity 1; copy company data into ~/kopi-kaki from Activity 2.</w:t>
      </w:r>
    </w:p>
    <w:p>
      <w:pPr>
        <w:pStyle w:val="Heading3"/>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pPr>
      <w:r>
        <w:t>Lab 4 — Activity 4 — Hermes Dashboard, Professional PPT &amp; Single-Agent Video</w:t>
      </w:r>
    </w:p>
    <w:p>
      <w:r>
        <w:rPr>
          <w:b/>
        </w:rPr>
        <w:t>Day 1 · 70 min · One agent + office/video skills + human review · LO2</w:t>
      </w:r>
      <w:r>
        <w:t xml:space="preserve"> — One Hermes agent reads the assigned Google account, analyses an Excel workbook and builds an interactive dashboard and a management presentation.</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Use a single Hermes agent with reusable skills and tools to create and verify interactive and presentation artifacts (LO2; PP Task 2).</w:t>
      </w:r>
    </w:p>
    <w:p>
      <w:pPr>
        <w:pStyle w:val="Heading3"/>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pPr>
      <w:r>
        <w:t>Native Python tools and PowerPoint/PDF export were preflighted</w:t>
      </w:r>
    </w:p>
    <w:p>
      <w:pPr>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4.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labs/lab04-hermes-ppt-video-artifacts/ — README.md, LAB-04-Instructions.pdf, COPY-PROMPTS.txt and data/. Use the neutral training account for Activity 1; copy company data into ~/kopi-kaki from Activity 2.</w:t>
      </w:r>
    </w:p>
    <w:p>
      <w:pPr>
        <w:pStyle w:val="Heading3"/>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pPr>
      <w:r>
        <w:t>Business scenario</w:t>
      </w:r>
    </w:p>
    <w:p>
      <w:r>
        <w:t>Use the verified Day 1 launch-office evidence. The team must turn one approved campaign angle into a short video while making ownership, dependencies, review and the human release gate visible.</w:t>
      </w:r>
    </w:p>
    <w:p>
      <w:pPr>
        <w:pStyle w:val="Heading3"/>
      </w:pPr>
      <w:r>
        <w:t>Goal</w:t>
      </w:r>
    </w:p>
    <w:p>
      <w:r>
        <w:t>Coordinate actual independent Hermes profiles/bots through source research, storyboard, production and independent audit; preserve human control (LO2; PP Task 3 preparation).</w:t>
      </w:r>
    </w:p>
    <w:p>
      <w:pPr>
        <w:pStyle w:val="Heading3"/>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pPr>
      <w:r>
        <w:t>Each worker owns different output files; a trainer-prepared board is inspected and exercised by each learner</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hermes-kanban.png"/>
                    <pic:cNvPicPr/>
                  </pic:nvPicPr>
                  <pic:blipFill>
                    <a:blip r:embed="rId16"/>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pPr>
      <w:r>
        <w:t>Lab files</w:t>
      </w:r>
    </w:p>
    <w:p>
      <w:r>
        <w:t>labs/lab05-hermes-kanban-video-team/ — README.md, LAB-05-Instructions.pdf, COPY-PROMPTS.txt and data/. Use the neutral training account for Activity 1; copy company data into ~/kopi-kaki from Activity 2.</w:t>
      </w:r>
    </w:p>
    <w:p>
      <w:pPr>
        <w:pStyle w:val="Heading3"/>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pPr>
      <w:r>
        <w:t>Stretch challenge</w:t>
      </w:r>
    </w:p>
    <w:p>
      <w:r>
        <w:t>Re-run one stage after changing the approved angle. Show which downstream artifacts become stale and require re-review.</w:t>
      </w:r>
    </w:p>
    <w:p>
      <w:pPr>
        <w:pStyle w:val="Heading2"/>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pPr>
      <w:r>
        <w:t>Goal</w:t>
      </w:r>
    </w:p>
    <w:p>
      <w:r>
        <w:t>Compare a retrieval-grounded assistant with a standard LLM and assess implementation and maintenance feasibility using actual source tests (LO3; PP Task 3 written analysis).</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6.png"/>
                    <pic:cNvPicPr/>
                  </pic:nvPicPr>
                  <pic:blipFill>
                    <a:blip r:embed="rId17"/>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labs/lab06-hermes-source-assurance/ — README.md, LAB-06-Instructions.pdf, COPY-PROMPTS.txt and data/. Use the neutral training account for Activity 1; copy company data into ~/kopi-kaki from Activity 2.</w:t>
      </w:r>
    </w:p>
    <w:p>
      <w:pPr>
        <w:pStyle w:val="Heading3"/>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pPr>
      <w:r>
        <w:t>Stretch challenge</w:t>
      </w:r>
    </w:p>
    <w:p>
      <w:r>
        <w:t>Transfer the checks to a different product while preserving source and decision ownership.</w:t>
      </w:r>
    </w:p>
    <w:p>
      <w:pPr>
        <w:pStyle w:val="Heading2"/>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pPr>
      <w:r>
        <w:t>Business scenario</w:t>
      </w:r>
    </w:p>
    <w:p>
      <w:r>
        <w:t>The launch manager wants a persistent assistant to check an approved meeting pack and surface gaps. The exercise compares human control, access and verification with the local Hermes workflow.</w:t>
      </w:r>
    </w:p>
    <w:p>
      <w:pPr>
        <w:pStyle w:val="Heading3"/>
      </w:pPr>
      <w:r>
        <w:t>Goal</w:t>
      </w:r>
    </w:p>
    <w:p>
      <w:r>
        <w:t>Evaluate Dots and Hermes against the same evidence, access and human-control criteria (LO3).</w:t>
      </w:r>
    </w:p>
    <w:p>
      <w:pPr>
        <w:pStyle w:val="Heading3"/>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pPr>
      <w:r>
        <w:t>If learners lack entitlement, use a real trainer demonstration; record observed versus personally executed work accurately. PP does not require Dots access.</w:t>
      </w:r>
    </w:p>
    <w:p>
      <w:pPr>
        <w:jc w:val="center"/>
      </w:pPr>
      <w:r>
        <w:drawing>
          <wp:inline xmlns:a="http://schemas.openxmlformats.org/drawingml/2006/main" xmlns:pic="http://schemas.openxmlformats.org/drawingml/2006/picture">
            <wp:extent cx="4572000" cy="1752600"/>
            <wp:docPr id="10" name="Picture 10"/>
            <wp:cNvGraphicFramePr>
              <a:graphicFrameLocks noChangeAspect="1"/>
            </wp:cNvGraphicFramePr>
            <a:graphic>
              <a:graphicData uri="http://schemas.openxmlformats.org/drawingml/2006/picture">
                <pic:pic>
                  <pic:nvPicPr>
                    <pic:cNvPr id="0" name="activity-07.png"/>
                    <pic:cNvPicPr/>
                  </pic:nvPicPr>
                  <pic:blipFill>
                    <a:blip r:embed="rId18"/>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labs/lab07-openai-dots-launch-review/ — README.md, LAB-07-Instructions.pdf, COPY-PROMPTS.txt and data/. Use the neutral training account for Activity 1; copy company data into ~/kopi-kaki from Activity 2.</w:t>
      </w:r>
    </w:p>
    <w:p>
      <w:pPr>
        <w:pStyle w:val="Heading3"/>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pPr>
      <w:r>
        <w:t>Stretch challenge</w:t>
      </w:r>
    </w:p>
    <w:p>
      <w:r>
        <w:t>Transfer the checks to a different product while preserving source and decision ownership.</w:t>
      </w:r>
    </w:p>
    <w:p>
      <w:pPr>
        <w:pStyle w:val="Heading2"/>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pPr>
      <w:r>
        <w:t>Goal</w:t>
      </w:r>
    </w:p>
    <w:p>
      <w:r>
        <w:t>Evaluate multi-agent video creation, compare strengths/limitations and assess a maintainable workflow (LO3; PP Task 3).</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8.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labs/lab08-hermes-video-release/ — README.md, LAB-08-Instructions.pdf, COPY-PROMPTS.txt and data/. Use the neutral training account for Activity 1; copy company data into ~/kopi-kaki from Activity 2.</w:t>
      </w:r>
    </w:p>
    <w:p>
      <w:pPr>
        <w:pStyle w:val="Heading3"/>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pPr>
      <w:r>
        <w:t>Stretch challenge</w:t>
      </w:r>
    </w:p>
    <w:p>
      <w:r>
        <w:t>Transfer the checks to a different product while preserving source and decision ownership.</w:t>
      </w:r>
    </w:p>
    <w:p>
      <w:pPr>
        <w:pStyle w:val="Heading1"/>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