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Course Code: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9.4</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9.4</w:t>
            </w:r>
          </w:p>
        </w:tc>
        <w:tc>
          <w:tcPr>
            <w:tcW w:type="dxa" w:w="1656"/>
          </w:tcPr>
          <w:p>
            <w:r/>
            <w:r>
              <w:rPr>
                <w:sz w:val="19"/>
              </w:rPr>
              <w:t>20 October 2026</w:t>
            </w:r>
          </w:p>
        </w:tc>
        <w:tc>
          <w:tcPr>
            <w:tcW w:type="dxa" w:w="4896"/>
          </w:tcPr>
          <w:p>
            <w:r/>
            <w:r>
              <w:rPr>
                <w:sz w:val="19"/>
              </w:rPr>
              <w:t>Adopted the revised learning outcomes and topic titles. LO3: Evaluate opportunities in using Microsoft Copilot. LO4: Design a training plan for staff to use Microsoft Copilot. Topics: 1 Overview of Microsoft Copilot; 2 Microsoft Copilot for Excel; 3 Create Interactive Dashboard with Microsoft Copilot; 4 Create Microsoft Agent. Labs, timing and assessments unchanged.</w:t>
            </w:r>
          </w:p>
        </w:tc>
        <w:tc>
          <w:tcPr>
            <w:tcW w:type="dxa" w:w="1656"/>
          </w:tcPr>
          <w:p>
            <w:r/>
            <w:r>
              <w:rPr>
                <w:sz w:val="19"/>
              </w:rPr>
              <w:t>Tertiary Infotech Academy</w:t>
            </w:r>
          </w:p>
        </w:tc>
      </w:tr>
      <w:tr>
        <w:tc>
          <w:tcPr>
            <w:tcW w:type="dxa" w:w="1152"/>
          </w:tcPr>
          <w:p>
            <w:r/>
            <w:r>
              <w:rPr>
                <w:sz w:val="19"/>
              </w:rPr>
              <w:t>9.3</w:t>
            </w:r>
          </w:p>
        </w:tc>
        <w:tc>
          <w:tcPr>
            <w:tcW w:type="dxa" w:w="1656"/>
          </w:tcPr>
          <w:p>
            <w:r/>
            <w:r>
              <w:rPr>
                <w:sz w:val="19"/>
              </w:rPr>
              <w:t>20 October 2026</w:t>
            </w:r>
          </w:p>
        </w:tc>
        <w:tc>
          <w:tcPr>
            <w:tcW w:type="dxa" w:w="4896"/>
          </w:tcPr>
          <w:p>
            <w:r/>
            <w:r>
              <w:rPr>
                <w:sz w:val="19"/>
              </w:rPr>
              <w:t>Removed Microsoft Loop: LO4 now reads "Design a training plan for staff to use Microsoft Copilot Studio" (to be revised in TPG), and Lab 14 staff enablement uses an Excel staff enablement tracker with the same columns. Added worked Lumina HR screenshots: an interactive HR service dashboard (filters, KPI tiles, finding titles, linked charts) shown at All and filtered to Retail Sales, and a Pareto chart of overdue backlog by request type. Added live Microsoft 365 Agent Builder screenshots for Topic 4: New agent, the default-access notice, Configure (instructions, Skills), Knowledge with default Search-all sources, suggested prompts and a cited UNKNOWN test answer. Removed the empty duplicate lab folders.</w:t>
            </w:r>
          </w:p>
        </w:tc>
        <w:tc>
          <w:tcPr>
            <w:tcW w:type="dxa" w:w="1656"/>
          </w:tcPr>
          <w:p>
            <w:r/>
            <w:r>
              <w:rPr>
                <w:sz w:val="19"/>
              </w:rPr>
              <w:t>Tertiary Infotech Academy</w:t>
            </w:r>
          </w:p>
        </w:tc>
      </w:tr>
      <w:tr>
        <w:tc>
          <w:tcPr>
            <w:tcW w:type="dxa" w:w="1152"/>
          </w:tcPr>
          <w:p>
            <w:r/>
            <w:r>
              <w:rPr>
                <w:sz w:val="19"/>
              </w:rPr>
              <w:t>9.2</w:t>
            </w:r>
          </w:p>
        </w:tc>
        <w:tc>
          <w:tcPr>
            <w:tcW w:type="dxa" w:w="1656"/>
          </w:tcPr>
          <w:p>
            <w:r/>
            <w:r>
              <w:rPr>
                <w:sz w:val="19"/>
              </w:rPr>
              <w:t>20 October 2026</w:t>
            </w:r>
          </w:p>
        </w:tc>
        <w:tc>
          <w:tcPr>
            <w:tcW w:type="dxa" w:w="4896"/>
          </w:tcPr>
          <w:p>
            <w:r/>
            <w:r>
              <w:rPr>
                <w:sz w:val="19"/>
              </w:rPr>
              <w:t>Added real Microsoft 365 Copilot interface screenshots with numbered explanations: the Excel chat pane, the + grounding menu, model picker and edit/plan/chat modes, Outlook Work/Web, Personalization, the OneDrive skills folder, Custom skills, Manage plugins &amp; skills, the @ Skill picker and All Agents. The same screens appear in the slides, Learner Guide and lab READMEs; Lesson Plan demonstrations name the walkthroughs. Lumina HR scenario, labs, timing and assessments unchanged.</w:t>
            </w:r>
          </w:p>
        </w:tc>
        <w:tc>
          <w:tcPr>
            <w:tcW w:type="dxa" w:w="1656"/>
          </w:tcPr>
          <w:p>
            <w:r/>
            <w:r>
              <w:rPr>
                <w:sz w:val="19"/>
              </w:rPr>
              <w:t>Tertiary Infotech Academy</w:t>
            </w:r>
          </w:p>
        </w:tc>
      </w:tr>
      <w:tr>
        <w:tc>
          <w:tcPr>
            <w:tcW w:type="dxa" w:w="1152"/>
          </w:tcPr>
          <w:p>
            <w:r/>
            <w:r>
              <w:rPr>
                <w:sz w:val="19"/>
              </w:rPr>
              <w:t>9.1</w:t>
            </w:r>
          </w:p>
        </w:tc>
        <w:tc>
          <w:tcPr>
            <w:tcW w:type="dxa" w:w="1656"/>
          </w:tcPr>
          <w:p>
            <w:r/>
            <w:r>
              <w:rPr>
                <w:sz w:val="19"/>
              </w:rPr>
              <w:t>18 October 2026</w:t>
            </w:r>
          </w:p>
        </w:tc>
        <w:tc>
          <w:tcPr>
            <w:tcW w:type="dxa" w:w="4896"/>
          </w:tcPr>
          <w:p>
            <w:r/>
            <w:r>
              <w:rPr>
                <w:sz w:val="19"/>
              </w:rPr>
              <w:t>Returned the use case to HR: Lumina Living HR Shared Services cases replace the Northstar work orders across all 14 labs, slides, Learner Guide, Lesson Plan and assessments. Topic 4 labs now build a grounded HR Policy Agent with HR handbook knowledge and the hr-policy-qa Skill. Prompts page shows each step before its prompt. Course closes with the 5 Principles of AI Security.</w:t>
            </w:r>
          </w:p>
        </w:tc>
        <w:tc>
          <w:tcPr>
            <w:tcW w:type="dxa" w:w="1656"/>
          </w:tcPr>
          <w:p>
            <w:r/>
            <w:r>
              <w:rPr>
                <w:sz w:val="19"/>
              </w:rPr>
              <w:t>Tertiary Infotech Academy</w:t>
            </w:r>
          </w:p>
        </w:tc>
      </w:tr>
      <w:tr>
        <w:tc>
          <w:tcPr>
            <w:tcW w:type="dxa" w:w="1152"/>
          </w:tcPr>
          <w:p>
            <w:r/>
            <w:r>
              <w:rPr>
                <w:sz w:val="19"/>
              </w:rPr>
              <w:t>9.0</w:t>
            </w:r>
          </w:p>
        </w:tc>
        <w:tc>
          <w:tcPr>
            <w:tcW w:type="dxa" w:w="1656"/>
          </w:tcPr>
          <w:p>
            <w:r/>
            <w:r>
              <w:rPr>
                <w:sz w:val="19"/>
              </w:rPr>
              <w:t>14 October 2026</w:t>
            </w:r>
          </w:p>
        </w:tc>
        <w:tc>
          <w:tcPr>
            <w:tcW w:type="dxa" w:w="4896"/>
          </w:tcPr>
          <w:p>
            <w:r/>
            <w:r>
              <w:rPr>
                <w:sz w:val="19"/>
              </w:rPr>
              <w:t>Rebuilt around the verified Northstar scenario; adopted C27 instructional sequence and charcoal/cream design; merged dashboard and presentation content; added four Microsoft 365 Agent Builder labs; aligned WA/PP evidence to one screenshot per PP task.</w:t>
            </w:r>
          </w:p>
        </w:tc>
        <w:tc>
          <w:tcPr>
            <w:tcW w:type="dxa" w:w="1656"/>
          </w:tcPr>
          <w:p>
            <w:r/>
            <w:r>
              <w:rPr>
                <w:sz w:val="19"/>
              </w:rPr>
              <w:t>Tertiary Infotech Academy</w:t>
            </w:r>
          </w:p>
        </w:tc>
      </w:tr>
      <w:tr>
        <w:tc>
          <w:tcPr>
            <w:tcW w:type="dxa" w:w="1152"/>
          </w:tcPr>
          <w:p>
            <w:r/>
            <w:r>
              <w:rPr>
                <w:sz w:val="19"/>
              </w:rPr>
              <w:t>8.2</w:t>
            </w:r>
          </w:p>
        </w:tc>
        <w:tc>
          <w:tcPr>
            <w:tcW w:type="dxa" w:w="1656"/>
          </w:tcPr>
          <w:p>
            <w:r/>
            <w:r>
              <w:rPr>
                <w:sz w:val="19"/>
              </w:rPr>
              <w:t>7 September 2026</w:t>
            </w:r>
          </w:p>
        </w:tc>
        <w:tc>
          <w:tcPr>
            <w:tcW w:type="dxa" w:w="4896"/>
          </w:tcPr>
          <w:p>
            <w:r/>
            <w:r>
              <w:rPr>
                <w:sz w:val="19"/>
              </w:rPr>
              <w:t>Aligned Lumina Copilot labs, assessment evidence and visual workflow.</w:t>
            </w:r>
          </w:p>
        </w:tc>
        <w:tc>
          <w:tcPr>
            <w:tcW w:type="dxa" w:w="1656"/>
          </w:tcPr>
          <w:p>
            <w:r/>
            <w:r>
              <w:rPr>
                <w:sz w:val="19"/>
              </w:rPr>
              <w:t>Tertiary Infotech Academy</w:t>
            </w:r>
          </w:p>
        </w:tc>
      </w:tr>
      <w:tr>
        <w:tc>
          <w:tcPr>
            <w:tcW w:type="dxa" w:w="1152"/>
          </w:tcPr>
          <w:p>
            <w:r/>
            <w:r>
              <w:rPr>
                <w:sz w:val="19"/>
              </w:rPr>
              <w:t>8.1</w:t>
            </w:r>
          </w:p>
        </w:tc>
        <w:tc>
          <w:tcPr>
            <w:tcW w:type="dxa" w:w="1656"/>
          </w:tcPr>
          <w:p>
            <w:r/>
            <w:r>
              <w:rPr>
                <w:sz w:val="19"/>
              </w:rPr>
              <w:t>5 September 2026</w:t>
            </w:r>
          </w:p>
        </w:tc>
        <w:tc>
          <w:tcPr>
            <w:tcW w:type="dxa" w:w="4896"/>
          </w:tcPr>
          <w:p>
            <w:r/>
            <w:r>
              <w:rPr>
                <w:sz w:val="19"/>
              </w:rPr>
              <w:t>Removed non-applicable practice exam and tea-break slide references.</w:t>
            </w:r>
          </w:p>
        </w:tc>
        <w:tc>
          <w:tcPr>
            <w:tcW w:type="dxa" w:w="1656"/>
          </w:tcPr>
          <w:p>
            <w:r/>
            <w:r>
              <w:rPr>
                <w:sz w:val="19"/>
              </w:rPr>
              <w:t>Tertiary Infotech Academy</w:t>
            </w:r>
          </w:p>
        </w:tc>
      </w:tr>
      <w:tr>
        <w:tc>
          <w:tcPr>
            <w:tcW w:type="dxa" w:w="1152"/>
          </w:tcPr>
          <w:p>
            <w:r/>
            <w:r>
              <w:rPr>
                <w:sz w:val="19"/>
              </w:rPr>
              <w:t>8.0</w:t>
            </w:r>
          </w:p>
        </w:tc>
        <w:tc>
          <w:tcPr>
            <w:tcW w:type="dxa" w:w="1656"/>
          </w:tcPr>
          <w:p>
            <w:r/>
            <w:r>
              <w:rPr>
                <w:sz w:val="19"/>
              </w:rPr>
              <w:t>15 August 2026</w:t>
            </w:r>
          </w:p>
        </w:tc>
        <w:tc>
          <w:tcPr>
            <w:tcW w:type="dxa" w:w="4896"/>
          </w:tcPr>
          <w:p>
            <w:r/>
            <w:r>
              <w:rPr>
                <w:sz w:val="19"/>
              </w:rPr>
              <w:t>Rebuilt WSQ courseware, progressive activities and assessments.</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fldChar w:fldCharType="begin" w:dirty="true"/>
      </w:r>
      <w:r>
        <w:instrText xml:space="preserve"> TOC \o "1-2" \h \z \u </w:instrText>
      </w:r>
      <w:r>
        <w:fldChar w:fldCharType="separate"/>
      </w:r>
      <w:r>
        <w:rPr>
          <w:rFonts w:ascii="Arial" w:hAnsi="Arial"/>
          <w:b/>
          <w:color w:val="333333"/>
          <w:sz w:val="22"/>
        </w:rPr>
        <w:t>Course Information</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Assessment and Competency Evidence</w:t>
        <w:tab/>
        <w:t>4</w:t>
      </w:r>
    </w:p>
    <w:p>
      <w:pPr>
        <w:tabs>
          <w:tab w:pos="9072" w:val="right" w:leader="dot"/>
        </w:tabs>
        <w:spacing w:after="60"/>
      </w:pPr>
      <w:r>
        <w:rPr>
          <w:rFonts w:ascii="Arial" w:hAnsi="Arial"/>
          <w:b/>
          <w:color w:val="333333"/>
          <w:sz w:val="22"/>
        </w:rPr>
        <w:t>Course Schedule</w:t>
        <w:tab/>
        <w:t>4</w:t>
      </w:r>
    </w:p>
    <w:p>
      <w:pPr>
        <w:tabs>
          <w:tab w:pos="9072" w:val="right" w:leader="dot"/>
        </w:tabs>
        <w:spacing w:after="60"/>
        <w:ind w:left="432"/>
      </w:pPr>
      <w:r>
        <w:rPr>
          <w:rFonts w:ascii="Arial" w:hAnsi="Arial"/>
          <w:b w:val="0"/>
          <w:color w:val="333333"/>
          <w:sz w:val="21"/>
        </w:rPr>
        <w:t>Day 1 — Copilot fundamentals, reusable Skills and controlled transition</w:t>
        <w:tab/>
        <w:t>4</w:t>
      </w:r>
    </w:p>
    <w:p>
      <w:pPr>
        <w:tabs>
          <w:tab w:pos="9072" w:val="right" w:leader="dot"/>
        </w:tabs>
        <w:spacing w:after="60"/>
        <w:ind w:left="432"/>
      </w:pPr>
      <w:r>
        <w:rPr>
          <w:rFonts w:ascii="Arial" w:hAnsi="Arial"/>
          <w:b w:val="0"/>
          <w:color w:val="333333"/>
          <w:sz w:val="21"/>
        </w:rPr>
        <w:t>Day 2 — Interactive dashboard, professional presentation and Microsoft 365 business agents</w:t>
        <w:tab/>
        <w:t>5</w:t>
      </w:r>
    </w:p>
    <w:p>
      <w:pPr>
        <w:tabs>
          <w:tab w:pos="9072" w:val="right" w:leader="dot"/>
        </w:tabs>
        <w:spacing w:after="60"/>
      </w:pPr>
      <w:r>
        <w:rPr>
          <w:rFonts w:ascii="Arial" w:hAnsi="Arial"/>
          <w:b/>
          <w:color w:val="333333"/>
          <w:sz w:val="22"/>
        </w:rPr>
        <w:t>Lab Reference (aligned to course topics)</w:t>
        <w:tab/>
        <w:t>5</w:t>
      </w:r>
      <w:r>
        <w:fldChar w:fldCharType="end"/>
      </w:r>
    </w:p>
    <w:p>
      <w:r>
        <w:br w:type="page"/>
      </w:r>
    </w:p>
    <w:p>
      <w:pPr>
        <w:pStyle w:val="Heading1"/>
        <w:keepNext/>
      </w:pPr>
      <w:r>
        <w:t>Course Information</w:t>
      </w:r>
    </w:p>
    <w:tbl>
      <w:tblPr>
        <w:tblStyle w:val="TableGrid"/>
        <w:tblW w:type="auto" w:w="0"/>
        <w:tblLayout w:type="fixed"/>
        <w:tblLook w:firstColumn="1" w:firstRow="1" w:lastColumn="0" w:lastRow="0" w:noHBand="0" w:noVBand="1" w:val="04A0"/>
      </w:tblPr>
      <w:tblGrid>
        <w:gridCol w:w="2448"/>
        <w:gridCol w:w="6912"/>
      </w:tblGrid>
      <w:tr>
        <w:trPr>
          <w:cantSplit/>
        </w:trPr>
        <w:tc>
          <w:tcPr>
            <w:tcW w:type="dxa" w:w="2448"/>
            <w:shd w:val="clear" w:color="auto" w:fill="E8F0FE"/>
          </w:tcPr>
          <w:p>
            <w:r/>
            <w:r>
              <w:rPr>
                <w:b/>
                <w:sz w:val="20"/>
              </w:rPr>
              <w:t>Course Title</w:t>
            </w:r>
          </w:p>
        </w:tc>
        <w:tc>
          <w:tcPr>
            <w:tcW w:type="dxa" w:w="6912"/>
          </w:tcPr>
          <w:p>
            <w:r/>
            <w:r>
              <w:rPr>
                <w:sz w:val="20"/>
              </w:rPr>
              <w:t>Enhance Work Productivity with Microsoft 365 Copilot</w:t>
            </w:r>
          </w:p>
        </w:tc>
      </w:tr>
      <w:tr>
        <w:trPr>
          <w:cantSplit/>
        </w:trPr>
        <w:tc>
          <w:tcPr>
            <w:tcW w:type="dxa" w:w="2448"/>
            <w:shd w:val="clear" w:color="auto" w:fill="E8F0FE"/>
          </w:tcPr>
          <w:p>
            <w:r/>
            <w:r>
              <w:rPr>
                <w:b/>
                <w:sz w:val="20"/>
              </w:rPr>
              <w:t>Course Reference</w:t>
            </w:r>
          </w:p>
        </w:tc>
        <w:tc>
          <w:tcPr>
            <w:tcW w:type="dxa" w:w="6912"/>
          </w:tcPr>
          <w:p>
            <w:r/>
            <w:r>
              <w:rPr>
                <w:sz w:val="20"/>
              </w:rPr>
              <w:t>TGS-2024043856</w:t>
            </w:r>
          </w:p>
        </w:tc>
      </w:tr>
      <w:tr>
        <w:trPr>
          <w:cantSplit/>
        </w:trPr>
        <w:tc>
          <w:tcPr>
            <w:tcW w:type="dxa" w:w="2448"/>
            <w:shd w:val="clear" w:color="auto" w:fill="E8F0FE"/>
          </w:tcPr>
          <w:p>
            <w:r/>
            <w:r>
              <w:rPr>
                <w:b/>
                <w:sz w:val="20"/>
              </w:rPr>
              <w:t>TSC</w:t>
            </w:r>
          </w:p>
        </w:tc>
        <w:tc>
          <w:tcPr>
            <w:tcW w:type="dxa" w:w="6912"/>
          </w:tcPr>
          <w:p>
            <w:r/>
            <w:r>
              <w:rPr>
                <w:sz w:val="20"/>
              </w:rPr>
              <w:t>Digital Technology Adoption and Innovation (ACC-ICT-4004-1.1)</w:t>
            </w:r>
          </w:p>
        </w:tc>
      </w:tr>
      <w:tr>
        <w:trPr>
          <w:cantSplit/>
        </w:trPr>
        <w:tc>
          <w:tcPr>
            <w:tcW w:type="dxa" w:w="2448"/>
            <w:shd w:val="clear" w:color="auto" w:fill="E8F0FE"/>
          </w:tcPr>
          <w:p>
            <w:r/>
            <w:r>
              <w:rPr>
                <w:b/>
                <w:sz w:val="20"/>
              </w:rPr>
              <w:t>Training Provider</w:t>
            </w:r>
          </w:p>
        </w:tc>
        <w:tc>
          <w:tcPr>
            <w:tcW w:type="dxa" w:w="6912"/>
          </w:tcPr>
          <w:p>
            <w:r/>
            <w:r>
              <w:rPr>
                <w:sz w:val="20"/>
              </w:rPr>
              <w:t>Tertiary Infotech Academy Pte Ltd  (UEN 201200696W)</w:t>
            </w:r>
          </w:p>
        </w:tc>
      </w:tr>
      <w:tr>
        <w:trPr>
          <w:cantSplit/>
        </w:trPr>
        <w:tc>
          <w:tcPr>
            <w:tcW w:type="dxa" w:w="2448"/>
            <w:shd w:val="clear" w:color="auto" w:fill="E8F0FE"/>
          </w:tcPr>
          <w:p>
            <w:r/>
            <w:r>
              <w:rPr>
                <w:b/>
                <w:sz w:val="20"/>
              </w:rPr>
              <w:t>Duration</w:t>
            </w:r>
          </w:p>
        </w:tc>
        <w:tc>
          <w:tcPr>
            <w:tcW w:type="dxa" w:w="6912"/>
          </w:tcPr>
          <w:p>
            <w:r/>
            <w:r>
              <w:rPr>
                <w:sz w:val="20"/>
              </w:rPr>
              <w:t>2 days · 16 total hours: 14 training hours and 2 assessment hours. Breaks are excluded.</w:t>
            </w:r>
          </w:p>
        </w:tc>
      </w:tr>
      <w:tr>
        <w:trPr>
          <w:cantSplit/>
        </w:trPr>
        <w:tc>
          <w:tcPr>
            <w:tcW w:type="dxa" w:w="2448"/>
            <w:shd w:val="clear" w:color="auto" w:fill="E8F0FE"/>
          </w:tcPr>
          <w:p>
            <w:r/>
            <w:r>
              <w:rPr>
                <w:b/>
                <w:sz w:val="20"/>
              </w:rPr>
              <w:t>Daily Timing</w:t>
            </w:r>
          </w:p>
        </w:tc>
        <w:tc>
          <w:tcPr>
            <w:tcW w:type="dxa" w:w="6912"/>
          </w:tcPr>
          <w:p>
            <w:r/>
            <w:r>
              <w:rPr>
                <w:sz w:val="20"/>
              </w:rPr>
              <w:t>9:00 am - 6:30 pm (1-hour lunch; two 15-minute breaks excluded; 7 instructional hours plus 1 assessment hour)</w:t>
            </w:r>
          </w:p>
        </w:tc>
      </w:tr>
      <w:tr>
        <w:trPr>
          <w:cantSplit/>
        </w:trPr>
        <w:tc>
          <w:tcPr>
            <w:tcW w:type="dxa" w:w="2448"/>
            <w:shd w:val="clear" w:color="auto" w:fill="E8F0FE"/>
          </w:tcPr>
          <w:p>
            <w:r/>
            <w:r>
              <w:rPr>
                <w:b/>
                <w:sz w:val="20"/>
              </w:rPr>
              <w:t>Mode</w:t>
            </w:r>
          </w:p>
        </w:tc>
        <w:tc>
          <w:tcPr>
            <w:tcW w:type="dxa" w:w="6912"/>
          </w:tcPr>
          <w:p>
            <w:r/>
            <w:r>
              <w:rPr>
                <w:sz w:val="20"/>
              </w:rPr>
              <w:t>Classroom facilitation and hands-on practical labs</w:t>
            </w:r>
          </w:p>
        </w:tc>
      </w:tr>
      <w:tr>
        <w:trPr>
          <w:cantSplit/>
        </w:trPr>
        <w:tc>
          <w:tcPr>
            <w:tcW w:type="dxa" w:w="2448"/>
            <w:shd w:val="clear" w:color="auto" w:fill="E8F0FE"/>
          </w:tcPr>
          <w:p>
            <w:r/>
            <w:r>
              <w:rPr>
                <w:b/>
                <w:sz w:val="20"/>
              </w:rPr>
              <w:t>Attendance and outcome</w:t>
            </w:r>
          </w:p>
        </w:tc>
        <w:tc>
          <w:tcPr>
            <w:tcW w:type="dxa" w:w="6912"/>
          </w:tcPr>
          <w:p>
            <w:r/>
            <w:r>
              <w:rPr>
                <w:sz w:val="20"/>
              </w:rPr>
              <w:t>Minimum 75% attendance and Competent assessment outcome.</w:t>
            </w:r>
          </w:p>
        </w:tc>
      </w:tr>
      <w:tr>
        <w:trPr>
          <w:cantSplit/>
        </w:trPr>
        <w:tc>
          <w:tcPr>
            <w:tcW w:type="dxa" w:w="2448"/>
            <w:shd w:val="clear" w:color="auto" w:fill="E8F0FE"/>
          </w:tcPr>
          <w:p>
            <w:r/>
            <w:r>
              <w:rPr>
                <w:b/>
                <w:sz w:val="20"/>
              </w:rPr>
              <w:t>Trainer</w:t>
            </w:r>
          </w:p>
        </w:tc>
        <w:tc>
          <w:tcPr>
            <w:tcW w:type="dxa" w:w="6912"/>
          </w:tcPr>
          <w:p>
            <w:r/>
            <w:r>
              <w:rPr>
                <w:sz w:val="20"/>
              </w:rPr>
              <w:t>Assigned Tertiary Infotech Academy Trainer</w:t>
            </w:r>
          </w:p>
        </w:tc>
      </w:tr>
    </w:tbl>
    <w:p>
      <w:pPr>
        <w:pStyle w:val="Heading1"/>
        <w:keepNext/>
      </w:pPr>
      <w:r>
        <w:t>Learning Outcomes</w:t>
      </w:r>
    </w:p>
    <w:p>
      <w:r>
        <w:t>On completion of this course, learners will be able to:</w:t>
      </w:r>
    </w:p>
    <w:p>
      <w:pPr>
        <w:pStyle w:val="ListBullet"/>
      </w:pPr>
      <w:r>
        <w:rPr>
          <w:sz w:val="21"/>
        </w:rPr>
        <w:t>LO1: Predict and mitigate challenges in integrating Microsoft Copilot to workflow.</w:t>
      </w:r>
    </w:p>
    <w:p>
      <w:pPr>
        <w:pStyle w:val="ListBullet"/>
      </w:pPr>
      <w:r>
        <w:rPr>
          <w:sz w:val="21"/>
        </w:rPr>
        <w:t>LO2: Develop a plan for implementing Microsoft Copilot to ensure seamless transition from legacy workflow.</w:t>
      </w:r>
    </w:p>
    <w:p>
      <w:pPr>
        <w:pStyle w:val="ListBullet"/>
      </w:pPr>
      <w:r>
        <w:rPr>
          <w:sz w:val="21"/>
        </w:rPr>
        <w:t>LO3: Evaluate opportunities in using Microsoft Copilot.</w:t>
      </w:r>
    </w:p>
    <w:p>
      <w:pPr>
        <w:pStyle w:val="ListBullet"/>
      </w:pPr>
      <w:r>
        <w:rPr>
          <w:sz w:val="21"/>
        </w:rPr>
        <w:t>LO4: Design a training plan for staff to use Microsoft Copilot.</w:t>
      </w:r>
    </w:p>
    <w:p>
      <w:pPr>
        <w:pStyle w:val="Heading1"/>
        <w:keepNext/>
      </w:pPr>
      <w:r>
        <w:t>Assessment and Competency Evidence</w:t>
      </w:r>
    </w:p>
    <w:p>
      <w:pPr>
        <w:pStyle w:val="ListBullet"/>
      </w:pPr>
      <w:r>
        <w:rPr>
          <w:sz w:val="21"/>
        </w:rPr>
        <w:t>Written Assessment - Short-Answer Questions (WA-SAQ), individual, summative, open book, 60 minutes.</w:t>
      </w:r>
    </w:p>
    <w:p>
      <w:pPr>
        <w:pStyle w:val="ListBullet"/>
      </w:pPr>
      <w:r>
        <w:rPr>
          <w:sz w:val="21"/>
        </w:rPr>
        <w:t>Practical Performance (PP), individual, summative, open book, 60 minutes.</w:t>
      </w:r>
    </w:p>
    <w:p>
      <w:pPr>
        <w:pStyle w:val="ListBullet"/>
      </w:pPr>
      <w:r>
        <w:rPr>
          <w:sz w:val="21"/>
        </w:rPr>
        <w:t>Oral clarification up to 5 minutes on a need basis; not included in assessment duration.</w:t>
      </w:r>
    </w:p>
    <w:p>
      <w:pPr>
        <w:pStyle w:val="ListBullet"/>
      </w:pPr>
      <w:r>
        <w:rPr>
          <w:sz w:val="21"/>
        </w:rPr>
        <w:t>Minimum 75% attendance and Competent assessment outcome.</w:t>
      </w:r>
    </w:p>
    <w:p>
      <w:pPr>
        <w:pStyle w:val="Heading1"/>
        <w:keepNext/>
      </w:pPr>
      <w:r>
        <w:t>Course Schedule</w:t>
      </w:r>
    </w:p>
    <w:p>
      <w:pPr>
        <w:pStyle w:val="Heading2"/>
        <w:keepNext/>
      </w:pPr>
      <w:r>
        <w:t>Day 1 — Copilot fundamentals, reusable Skills and controlled transition</w:t>
      </w:r>
    </w:p>
    <w:tbl>
      <w:tblPr>
        <w:tblStyle w:val="TableGrid"/>
        <w:tblW w:type="auto" w:w="0"/>
        <w:jc w:val="center"/>
        <w:tblLayout w:type="fixed"/>
        <w:tblLook w:firstColumn="1" w:firstRow="1" w:lastColumn="0" w:lastRow="0" w:noHBand="0" w:noVBand="1" w:val="04A0"/>
      </w:tblPr>
      <w:tblGrid>
        <w:gridCol w:w="1584"/>
        <w:gridCol w:w="1224"/>
        <w:gridCol w:w="6552"/>
      </w:tblGrid>
      <w:tr>
        <w:trPr>
          <w:tblHeader w:val="true"/>
          <w:cantSplit/>
        </w:trPr>
        <w:tc>
          <w:tcPr>
            <w:tcW w:type="dxa" w:w="1584"/>
            <w:shd w:val="clear" w:color="auto" w:fill="1F6FEB"/>
          </w:tcPr>
          <w:p>
            <w:r/>
            <w:r>
              <w:rPr>
                <w:rFonts w:ascii="Arial" w:hAnsi="Arial"/>
                <w:b/>
                <w:color w:val="FFFFFF"/>
                <w:sz w:val="20"/>
              </w:rPr>
              <w:t>Time</w:t>
            </w:r>
          </w:p>
        </w:tc>
        <w:tc>
          <w:tcPr>
            <w:tcW w:type="dxa" w:w="1224"/>
            <w:shd w:val="clear" w:color="auto" w:fill="1F6FEB"/>
          </w:tcPr>
          <w:p>
            <w:r/>
            <w:r>
              <w:rPr>
                <w:rFonts w:ascii="Arial" w:hAnsi="Arial"/>
                <w:b/>
                <w:color w:val="FFFFFF"/>
                <w:sz w:val="20"/>
              </w:rPr>
              <w:t>Duration</w:t>
            </w:r>
          </w:p>
        </w:tc>
        <w:tc>
          <w:tcPr>
            <w:tcW w:type="dxa" w:w="6552"/>
            <w:shd w:val="clear" w:color="auto" w:fill="1F6FEB"/>
          </w:tcPr>
          <w:p>
            <w:r/>
            <w:r>
              <w:rPr>
                <w:rFonts w:ascii="Arial" w:hAnsi="Arial"/>
                <w:b/>
                <w:color w:val="FFFFFF"/>
                <w:sz w:val="20"/>
              </w:rPr>
              <w:t>Topic / Activity</w:t>
            </w:r>
          </w:p>
        </w:tc>
      </w:tr>
      <w:tr>
        <w:trPr>
          <w:cantSplit/>
        </w:trPr>
        <w:tc>
          <w:tcPr>
            <w:tcW w:type="dxa" w:w="1584"/>
            <w:shd w:val="clear" w:color="auto" w:fill="F3F5F8"/>
          </w:tcPr>
          <w:p>
            <w:r/>
            <w:r>
              <w:rPr>
                <w:rFonts w:ascii="Arial" w:hAnsi="Arial"/>
                <w:b w:val="0"/>
                <w:sz w:val="19"/>
              </w:rPr>
              <w:t>09:00–09:15</w:t>
            </w:r>
          </w:p>
        </w:tc>
        <w:tc>
          <w:tcPr>
            <w:tcW w:type="dxa" w:w="1224"/>
            <w:shd w:val="clear" w:color="auto" w:fill="F3F5F8"/>
          </w:tcPr>
          <w:p>
            <w:r/>
            <w:r>
              <w:rPr>
                <w:rFonts w:ascii="Arial" w:hAnsi="Arial"/>
                <w:b w:val="0"/>
                <w:sz w:val="19"/>
              </w:rPr>
              <w:t>15 min</w:t>
            </w:r>
          </w:p>
        </w:tc>
        <w:tc>
          <w:tcPr>
            <w:tcW w:type="dxa" w:w="6552"/>
            <w:shd w:val="clear" w:color="auto" w:fill="F3F5F8"/>
          </w:tcPr>
          <w:p>
            <w:r/>
            <w:r>
              <w:rPr>
                <w:rFonts w:ascii="Arial" w:hAnsi="Arial"/>
                <w:b w:val="0"/>
                <w:sz w:val="19"/>
              </w:rPr>
              <w:t>Welcome, attendance, outcomes, access and Lumina scenario</w:t>
            </w:r>
          </w:p>
        </w:tc>
      </w:tr>
      <w:tr>
        <w:trPr>
          <w:cantSplit/>
        </w:trPr>
        <w:tc>
          <w:tcPr>
            <w:tcW w:type="dxa" w:w="1584"/>
            <w:shd w:val="clear" w:color="auto" w:fill="E8F0FE"/>
          </w:tcPr>
          <w:p>
            <w:r/>
            <w:r>
              <w:rPr>
                <w:rFonts w:ascii="Arial" w:hAnsi="Arial"/>
                <w:b/>
                <w:sz w:val="19"/>
              </w:rPr>
              <w:t>09:15–10:15</w:t>
            </w:r>
          </w:p>
        </w:tc>
        <w:tc>
          <w:tcPr>
            <w:tcW w:type="dxa" w:w="1224"/>
            <w:shd w:val="clear" w:color="auto" w:fill="E8F0FE"/>
          </w:tcPr>
          <w:p>
            <w:r/>
            <w:r>
              <w:rPr>
                <w:rFonts w:ascii="Arial" w:hAnsi="Arial"/>
                <w:b w:val="0"/>
                <w:sz w:val="19"/>
              </w:rPr>
              <w:t>60 min</w:t>
            </w:r>
          </w:p>
        </w:tc>
        <w:tc>
          <w:tcPr>
            <w:tcW w:type="dxa" w:w="6552"/>
            <w:shd w:val="clear" w:color="auto" w:fill="E8F0FE"/>
          </w:tcPr>
          <w:p>
            <w:r/>
            <w:r>
              <w:rPr>
                <w:rFonts w:ascii="Arial" w:hAnsi="Arial"/>
                <w:b/>
                <w:sz w:val="19"/>
              </w:rPr>
              <w:t>Topic 1 concepts and demonstration, with screen walkthrough: Excel Copilot pane, + grounding menu, model picker, edit/plan/chat modes and Outlook Work/Web</w:t>
            </w:r>
          </w:p>
        </w:tc>
      </w:tr>
      <w:tr>
        <w:trPr>
          <w:cantSplit/>
        </w:trPr>
        <w:tc>
          <w:tcPr>
            <w:tcW w:type="dxa" w:w="1584"/>
          </w:tcPr>
          <w:p>
            <w:r/>
            <w:r>
              <w:rPr>
                <w:rFonts w:ascii="Arial" w:hAnsi="Arial"/>
                <w:b w:val="0"/>
                <w:sz w:val="19"/>
              </w:rPr>
              <w:t>10:15–10:45</w:t>
            </w:r>
          </w:p>
        </w:tc>
        <w:tc>
          <w:tcPr>
            <w:tcW w:type="dxa" w:w="1224"/>
          </w:tcPr>
          <w:p>
            <w:r/>
            <w:r>
              <w:rPr>
                <w:rFonts w:ascii="Arial" w:hAnsi="Arial"/>
                <w:b w:val="0"/>
                <w:sz w:val="19"/>
              </w:rPr>
              <w:t>30 min</w:t>
            </w:r>
          </w:p>
        </w:tc>
        <w:tc>
          <w:tcPr>
            <w:tcW w:type="dxa" w:w="6552"/>
          </w:tcPr>
          <w:p>
            <w:r/>
            <w:r>
              <w:rPr>
                <w:rFonts w:ascii="Arial" w:hAnsi="Arial"/>
                <w:b w:val="0"/>
                <w:sz w:val="19"/>
              </w:rPr>
              <w:t>Lab 1 (Excel to Word): Prepare HR Cases and Draft the HR Service Brief</w:t>
            </w:r>
          </w:p>
        </w:tc>
      </w:tr>
      <w:tr>
        <w:trPr>
          <w:cantSplit/>
        </w:trPr>
        <w:tc>
          <w:tcPr>
            <w:tcW w:type="dxa" w:w="1584"/>
          </w:tcPr>
          <w:p>
            <w:r/>
            <w:r>
              <w:rPr>
                <w:rFonts w:ascii="Arial" w:hAnsi="Arial"/>
                <w:b w:val="0"/>
                <w:sz w:val="19"/>
              </w:rPr>
              <w:t>10:45–11:15</w:t>
            </w:r>
          </w:p>
        </w:tc>
        <w:tc>
          <w:tcPr>
            <w:tcW w:type="dxa" w:w="1224"/>
          </w:tcPr>
          <w:p>
            <w:r/>
            <w:r>
              <w:rPr>
                <w:rFonts w:ascii="Arial" w:hAnsi="Arial"/>
                <w:b w:val="0"/>
                <w:sz w:val="19"/>
              </w:rPr>
              <w:t>30 min</w:t>
            </w:r>
          </w:p>
        </w:tc>
        <w:tc>
          <w:tcPr>
            <w:tcW w:type="dxa" w:w="6552"/>
          </w:tcPr>
          <w:p>
            <w:r/>
            <w:r>
              <w:rPr>
                <w:rFonts w:ascii="Arial" w:hAnsi="Arial"/>
                <w:b w:val="0"/>
                <w:sz w:val="19"/>
              </w:rPr>
              <w:t>Lab 2 (Word to PowerPoint and Outlook): Create the Cross-App HR Service Update</w:t>
            </w:r>
          </w:p>
        </w:tc>
      </w:tr>
      <w:tr>
        <w:trPr>
          <w:cantSplit/>
        </w:trPr>
        <w:tc>
          <w:tcPr>
            <w:tcW w:type="dxa" w:w="1584"/>
            <w:shd w:val="clear" w:color="auto" w:fill="FFF4E5"/>
          </w:tcPr>
          <w:p>
            <w:r/>
            <w:r>
              <w:rPr>
                <w:rFonts w:ascii="Arial" w:hAnsi="Arial"/>
                <w:b w:val="0"/>
                <w:sz w:val="19"/>
              </w:rPr>
              <w:t>11:15–11:30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shd w:val="clear" w:color="auto" w:fill="E8F0FE"/>
          </w:tcPr>
          <w:p>
            <w:r/>
            <w:r>
              <w:rPr>
                <w:rFonts w:ascii="Arial" w:hAnsi="Arial"/>
                <w:b/>
                <w:sz w:val="19"/>
              </w:rPr>
              <w:t>11:30–13:30</w:t>
            </w:r>
          </w:p>
        </w:tc>
        <w:tc>
          <w:tcPr>
            <w:tcW w:type="dxa" w:w="1224"/>
            <w:shd w:val="clear" w:color="auto" w:fill="E8F0FE"/>
          </w:tcPr>
          <w:p>
            <w:r/>
            <w:r>
              <w:rPr>
                <w:rFonts w:ascii="Arial" w:hAnsi="Arial"/>
                <w:b w:val="0"/>
                <w:sz w:val="19"/>
              </w:rPr>
              <w:t>120 min</w:t>
            </w:r>
          </w:p>
        </w:tc>
        <w:tc>
          <w:tcPr>
            <w:tcW w:type="dxa" w:w="6552"/>
            <w:shd w:val="clear" w:color="auto" w:fill="E8F0FE"/>
          </w:tcPr>
          <w:p>
            <w:r/>
            <w:r>
              <w:rPr>
                <w:rFonts w:ascii="Arial" w:hAnsi="Arial"/>
                <w:b/>
                <w:sz w:val="19"/>
              </w:rPr>
              <w:t>Topic 2 concepts and demonstrations, with screen walkthrough: Personalization, OneDrive skills folder, Custom skills, Manage plugins &amp; skills and the @ Skill picker</w:t>
            </w:r>
          </w:p>
        </w:tc>
      </w:tr>
      <w:tr>
        <w:trPr>
          <w:cantSplit/>
        </w:trPr>
        <w:tc>
          <w:tcPr>
            <w:tcW w:type="dxa" w:w="1584"/>
          </w:tcPr>
          <w:p>
            <w:r/>
            <w:r>
              <w:rPr>
                <w:rFonts w:ascii="Arial" w:hAnsi="Arial"/>
                <w:b w:val="0"/>
                <w:sz w:val="19"/>
              </w:rPr>
              <w:t>13:30–14:00</w:t>
            </w:r>
          </w:p>
        </w:tc>
        <w:tc>
          <w:tcPr>
            <w:tcW w:type="dxa" w:w="1224"/>
          </w:tcPr>
          <w:p>
            <w:r/>
            <w:r>
              <w:rPr>
                <w:rFonts w:ascii="Arial" w:hAnsi="Arial"/>
                <w:b w:val="0"/>
                <w:sz w:val="19"/>
              </w:rPr>
              <w:t>30 min</w:t>
            </w:r>
          </w:p>
        </w:tc>
        <w:tc>
          <w:tcPr>
            <w:tcW w:type="dxa" w:w="6552"/>
          </w:tcPr>
          <w:p>
            <w:r/>
            <w:r>
              <w:rPr>
                <w:rFonts w:ascii="Arial" w:hAnsi="Arial"/>
                <w:b w:val="0"/>
                <w:sz w:val="19"/>
              </w:rPr>
              <w:t>Lab 3 (Personalisation): Personalise Copilot in Excel for Consistent HR Service Reports</w:t>
            </w:r>
          </w:p>
        </w:tc>
      </w:tr>
      <w:tr>
        <w:trPr>
          <w:cantSplit/>
        </w:trPr>
        <w:tc>
          <w:tcPr>
            <w:tcW w:type="dxa" w:w="1584"/>
          </w:tcPr>
          <w:p>
            <w:r/>
            <w:r>
              <w:rPr>
                <w:rFonts w:ascii="Arial" w:hAnsi="Arial"/>
                <w:b w:val="0"/>
                <w:sz w:val="19"/>
              </w:rPr>
              <w:t>14:00–14:30</w:t>
            </w:r>
          </w:p>
        </w:tc>
        <w:tc>
          <w:tcPr>
            <w:tcW w:type="dxa" w:w="1224"/>
          </w:tcPr>
          <w:p>
            <w:r/>
            <w:r>
              <w:rPr>
                <w:rFonts w:ascii="Arial" w:hAnsi="Arial"/>
                <w:b w:val="0"/>
                <w:sz w:val="19"/>
              </w:rPr>
              <w:t>30 min</w:t>
            </w:r>
          </w:p>
        </w:tc>
        <w:tc>
          <w:tcPr>
            <w:tcW w:type="dxa" w:w="6552"/>
          </w:tcPr>
          <w:p>
            <w:r/>
            <w:r>
              <w:rPr>
                <w:rFonts w:ascii="Arial" w:hAnsi="Arial"/>
                <w:b w:val="0"/>
                <w:sz w:val="19"/>
              </w:rPr>
              <w:t>Lab 4 (Workbook .Rules): Create and Test Workbook .Rules for HR Service Reporting</w:t>
            </w:r>
          </w:p>
        </w:tc>
      </w:tr>
      <w:tr>
        <w:trPr>
          <w:cantSplit/>
        </w:trPr>
        <w:tc>
          <w:tcPr>
            <w:tcW w:type="dxa" w:w="1584"/>
            <w:shd w:val="clear" w:color="auto" w:fill="FDE9D9"/>
          </w:tcPr>
          <w:p>
            <w:r/>
            <w:r>
              <w:rPr>
                <w:rFonts w:ascii="Arial" w:hAnsi="Arial"/>
                <w:b w:val="0"/>
                <w:sz w:val="19"/>
              </w:rPr>
              <w:t>14:30–15:30</w:t>
            </w:r>
          </w:p>
        </w:tc>
        <w:tc>
          <w:tcPr>
            <w:tcW w:type="dxa" w:w="1224"/>
            <w:shd w:val="clear" w:color="auto" w:fill="FDE9D9"/>
          </w:tcPr>
          <w:p>
            <w:r/>
            <w:r>
              <w:rPr>
                <w:rFonts w:ascii="Arial" w:hAnsi="Arial"/>
                <w:b w:val="0"/>
                <w:sz w:val="19"/>
              </w:rPr>
              <w:t>60 min</w:t>
            </w:r>
          </w:p>
        </w:tc>
        <w:tc>
          <w:tcPr>
            <w:tcW w:type="dxa" w:w="6552"/>
            <w:shd w:val="clear" w:color="auto" w:fill="FDE9D9"/>
          </w:tcPr>
          <w:p>
            <w:r/>
            <w:r>
              <w:rPr>
                <w:rFonts w:ascii="Arial" w:hAnsi="Arial"/>
                <w:b w:val="0"/>
                <w:sz w:val="19"/>
              </w:rPr>
              <w:t>Lunch</w:t>
            </w:r>
          </w:p>
        </w:tc>
      </w:tr>
      <w:tr>
        <w:trPr>
          <w:cantSplit/>
        </w:trPr>
        <w:tc>
          <w:tcPr>
            <w:tcW w:type="dxa" w:w="1584"/>
          </w:tcPr>
          <w:p>
            <w:r/>
            <w:r>
              <w:rPr>
                <w:rFonts w:ascii="Arial" w:hAnsi="Arial"/>
                <w:b w:val="0"/>
                <w:sz w:val="19"/>
              </w:rPr>
              <w:t>15:30–16:00</w:t>
            </w:r>
          </w:p>
        </w:tc>
        <w:tc>
          <w:tcPr>
            <w:tcW w:type="dxa" w:w="1224"/>
          </w:tcPr>
          <w:p>
            <w:r/>
            <w:r>
              <w:rPr>
                <w:rFonts w:ascii="Arial" w:hAnsi="Arial"/>
                <w:b w:val="0"/>
                <w:sz w:val="19"/>
              </w:rPr>
              <w:t>30 min</w:t>
            </w:r>
          </w:p>
        </w:tc>
        <w:tc>
          <w:tcPr>
            <w:tcW w:type="dxa" w:w="6552"/>
          </w:tcPr>
          <w:p>
            <w:r/>
            <w:r>
              <w:rPr>
                <w:rFonts w:ascii="Arial" w:hAnsi="Arial"/>
                <w:b w:val="0"/>
                <w:sz w:val="19"/>
              </w:rPr>
              <w:t>Lab 5 (Custom Pareto Chart Skill): Create a Custom Pareto Chart Skill and Apply It</w:t>
            </w:r>
          </w:p>
        </w:tc>
      </w:tr>
      <w:tr>
        <w:trPr>
          <w:cantSplit/>
        </w:trPr>
        <w:tc>
          <w:tcPr>
            <w:tcW w:type="dxa" w:w="1584"/>
          </w:tcPr>
          <w:p>
            <w:r/>
            <w:r>
              <w:rPr>
                <w:rFonts w:ascii="Arial" w:hAnsi="Arial"/>
                <w:b w:val="0"/>
                <w:sz w:val="19"/>
              </w:rPr>
              <w:t>16:00–16:30</w:t>
            </w:r>
          </w:p>
        </w:tc>
        <w:tc>
          <w:tcPr>
            <w:tcW w:type="dxa" w:w="1224"/>
          </w:tcPr>
          <w:p>
            <w:r/>
            <w:r>
              <w:rPr>
                <w:rFonts w:ascii="Arial" w:hAnsi="Arial"/>
                <w:b w:val="0"/>
                <w:sz w:val="19"/>
              </w:rPr>
              <w:t>30 min</w:t>
            </w:r>
          </w:p>
        </w:tc>
        <w:tc>
          <w:tcPr>
            <w:tcW w:type="dxa" w:w="6552"/>
          </w:tcPr>
          <w:p>
            <w:r/>
            <w:r>
              <w:rPr>
                <w:rFonts w:ascii="Arial" w:hAnsi="Arial"/>
                <w:b w:val="0"/>
                <w:sz w:val="19"/>
              </w:rPr>
              <w:t>Lab 6 (Reporting Skill): Create, Use and Improve the HR Service Reporting Skill</w:t>
            </w:r>
          </w:p>
        </w:tc>
      </w:tr>
      <w:tr>
        <w:trPr>
          <w:cantSplit/>
        </w:trPr>
        <w:tc>
          <w:tcPr>
            <w:tcW w:type="dxa" w:w="1584"/>
            <w:shd w:val="clear" w:color="auto" w:fill="FFF4E5"/>
          </w:tcPr>
          <w:p>
            <w:r/>
            <w:r>
              <w:rPr>
                <w:rFonts w:ascii="Arial" w:hAnsi="Arial"/>
                <w:b w:val="0"/>
                <w:sz w:val="19"/>
              </w:rPr>
              <w:t>16:30–16:45</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shd w:val="clear" w:color="auto" w:fill="F3F5F8"/>
          </w:tcPr>
          <w:p>
            <w:r/>
            <w:r>
              <w:rPr>
                <w:rFonts w:ascii="Arial" w:hAnsi="Arial"/>
                <w:b w:val="0"/>
                <w:sz w:val="19"/>
              </w:rPr>
              <w:t>16:45–17:30</w:t>
            </w:r>
          </w:p>
        </w:tc>
        <w:tc>
          <w:tcPr>
            <w:tcW w:type="dxa" w:w="1224"/>
            <w:shd w:val="clear" w:color="auto" w:fill="F3F5F8"/>
          </w:tcPr>
          <w:p>
            <w:r/>
            <w:r>
              <w:rPr>
                <w:rFonts w:ascii="Arial" w:hAnsi="Arial"/>
                <w:b w:val="0"/>
                <w:sz w:val="19"/>
              </w:rPr>
              <w:t>45 min</w:t>
            </w:r>
          </w:p>
        </w:tc>
        <w:tc>
          <w:tcPr>
            <w:tcW w:type="dxa" w:w="6552"/>
            <w:shd w:val="clear" w:color="auto" w:fill="F3F5F8"/>
          </w:tcPr>
          <w:p>
            <w:r/>
            <w:r>
              <w:rPr>
                <w:rFonts w:ascii="Arial" w:hAnsi="Arial"/>
                <w:b w:val="0"/>
                <w:sz w:val="19"/>
              </w:rPr>
              <w:t>LO1-LO2 evidence and transition checkpoint</w:t>
            </w:r>
          </w:p>
        </w:tc>
      </w:tr>
      <w:tr>
        <w:trPr>
          <w:cantSplit/>
        </w:trPr>
        <w:tc>
          <w:tcPr>
            <w:tcW w:type="dxa" w:w="1584"/>
            <w:shd w:val="clear" w:color="auto" w:fill="E8F7EE"/>
          </w:tcPr>
          <w:p>
            <w:r/>
            <w:r>
              <w:rPr>
                <w:rFonts w:ascii="Arial" w:hAnsi="Arial"/>
                <w:b w:val="0"/>
                <w:sz w:val="19"/>
              </w:rPr>
              <w:t>17:30–18:30</w:t>
            </w:r>
          </w:p>
        </w:tc>
        <w:tc>
          <w:tcPr>
            <w:tcW w:type="dxa" w:w="1224"/>
            <w:shd w:val="clear" w:color="auto" w:fill="E8F7EE"/>
          </w:tcPr>
          <w:p>
            <w:r/>
            <w:r>
              <w:rPr>
                <w:rFonts w:ascii="Arial" w:hAnsi="Arial"/>
                <w:b w:val="0"/>
                <w:sz w:val="19"/>
              </w:rPr>
              <w:t>60 min</w:t>
            </w:r>
          </w:p>
        </w:tc>
        <w:tc>
          <w:tcPr>
            <w:tcW w:type="dxa" w:w="6552"/>
            <w:shd w:val="clear" w:color="auto" w:fill="E8F7EE"/>
          </w:tcPr>
          <w:p>
            <w:r/>
            <w:r>
              <w:rPr>
                <w:rFonts w:ascii="Arial" w:hAnsi="Arial"/>
                <w:b w:val="0"/>
                <w:sz w:val="19"/>
              </w:rPr>
              <w:t>Written Assessment - Short-Answer Questions</w:t>
            </w:r>
          </w:p>
        </w:tc>
      </w:tr>
    </w:tbl>
    <w:p>
      <w:r>
        <w:rPr>
          <w:i/>
          <w:color w:val="555B66"/>
          <w:sz w:val="19"/>
        </w:rPr>
        <w:t>Approved counted duration: 420 minutes (7 hours) training plus 60 minutes (1 hour) assessment. Lunch and tea breaks are excluded.</w:t>
      </w:r>
    </w:p>
    <w:p>
      <w:pPr>
        <w:pStyle w:val="Heading2"/>
        <w:keepNext/>
      </w:pPr>
      <w:r>
        <w:t>Day 2 — Interactive dashboard, professional presentation and Microsoft 365 business agents</w:t>
      </w:r>
    </w:p>
    <w:tbl>
      <w:tblPr>
        <w:tblStyle w:val="TableGrid"/>
        <w:tblW w:type="auto" w:w="0"/>
        <w:jc w:val="center"/>
        <w:tblLayout w:type="fixed"/>
        <w:tblLook w:firstColumn="1" w:firstRow="1" w:lastColumn="0" w:lastRow="0" w:noHBand="0" w:noVBand="1" w:val="04A0"/>
      </w:tblPr>
      <w:tblGrid>
        <w:gridCol w:w="1584"/>
        <w:gridCol w:w="1224"/>
        <w:gridCol w:w="6552"/>
      </w:tblGrid>
      <w:tr>
        <w:trPr>
          <w:tblHeader w:val="true"/>
          <w:cantSplit/>
        </w:trPr>
        <w:tc>
          <w:tcPr>
            <w:tcW w:type="dxa" w:w="1584"/>
            <w:shd w:val="clear" w:color="auto" w:fill="1F6FEB"/>
          </w:tcPr>
          <w:p>
            <w:r/>
            <w:r>
              <w:rPr>
                <w:rFonts w:ascii="Arial" w:hAnsi="Arial"/>
                <w:b/>
                <w:color w:val="FFFFFF"/>
                <w:sz w:val="20"/>
              </w:rPr>
              <w:t>Time</w:t>
            </w:r>
          </w:p>
        </w:tc>
        <w:tc>
          <w:tcPr>
            <w:tcW w:type="dxa" w:w="1224"/>
            <w:shd w:val="clear" w:color="auto" w:fill="1F6FEB"/>
          </w:tcPr>
          <w:p>
            <w:r/>
            <w:r>
              <w:rPr>
                <w:rFonts w:ascii="Arial" w:hAnsi="Arial"/>
                <w:b/>
                <w:color w:val="FFFFFF"/>
                <w:sz w:val="20"/>
              </w:rPr>
              <w:t>Duration</w:t>
            </w:r>
          </w:p>
        </w:tc>
        <w:tc>
          <w:tcPr>
            <w:tcW w:type="dxa" w:w="6552"/>
            <w:shd w:val="clear" w:color="auto" w:fill="1F6FEB"/>
          </w:tcPr>
          <w:p>
            <w:r/>
            <w:r>
              <w:rPr>
                <w:rFonts w:ascii="Arial" w:hAnsi="Arial"/>
                <w:b/>
                <w:color w:val="FFFFFF"/>
                <w:sz w:val="20"/>
              </w:rPr>
              <w:t>Topic / Activity</w:t>
            </w:r>
          </w:p>
        </w:tc>
      </w:tr>
      <w:tr>
        <w:trPr>
          <w:cantSplit/>
        </w:trPr>
        <w:tc>
          <w:tcPr>
            <w:tcW w:type="dxa" w:w="1584"/>
            <w:shd w:val="clear" w:color="auto" w:fill="F3F5F8"/>
          </w:tcPr>
          <w:p>
            <w:r/>
            <w:r>
              <w:rPr>
                <w:rFonts w:ascii="Arial" w:hAnsi="Arial"/>
                <w:b w:val="0"/>
                <w:sz w:val="19"/>
              </w:rPr>
              <w:t>09:00–09:10</w:t>
            </w:r>
          </w:p>
        </w:tc>
        <w:tc>
          <w:tcPr>
            <w:tcW w:type="dxa" w:w="1224"/>
            <w:shd w:val="clear" w:color="auto" w:fill="F3F5F8"/>
          </w:tcPr>
          <w:p>
            <w:r/>
            <w:r>
              <w:rPr>
                <w:rFonts w:ascii="Arial" w:hAnsi="Arial"/>
                <w:b w:val="0"/>
                <w:sz w:val="19"/>
              </w:rPr>
              <w:t>10 min</w:t>
            </w:r>
          </w:p>
        </w:tc>
        <w:tc>
          <w:tcPr>
            <w:tcW w:type="dxa" w:w="6552"/>
            <w:shd w:val="clear" w:color="auto" w:fill="F3F5F8"/>
          </w:tcPr>
          <w:p>
            <w:r/>
            <w:r>
              <w:rPr>
                <w:rFonts w:ascii="Arial" w:hAnsi="Arial"/>
                <w:b w:val="0"/>
                <w:sz w:val="19"/>
              </w:rPr>
              <w:t>Day 2 briefing and fixed-baseline check</w:t>
            </w:r>
          </w:p>
        </w:tc>
      </w:tr>
      <w:tr>
        <w:trPr>
          <w:cantSplit/>
        </w:trPr>
        <w:tc>
          <w:tcPr>
            <w:tcW w:type="dxa" w:w="1584"/>
            <w:shd w:val="clear" w:color="auto" w:fill="E8F0FE"/>
          </w:tcPr>
          <w:p>
            <w:r/>
            <w:r>
              <w:rPr>
                <w:rFonts w:ascii="Arial" w:hAnsi="Arial"/>
                <w:b/>
                <w:sz w:val="19"/>
              </w:rPr>
              <w:t>09:10–10:25</w:t>
            </w:r>
          </w:p>
        </w:tc>
        <w:tc>
          <w:tcPr>
            <w:tcW w:type="dxa" w:w="1224"/>
            <w:shd w:val="clear" w:color="auto" w:fill="E8F0FE"/>
          </w:tcPr>
          <w:p>
            <w:r/>
            <w:r>
              <w:rPr>
                <w:rFonts w:ascii="Arial" w:hAnsi="Arial"/>
                <w:b w:val="0"/>
                <w:sz w:val="19"/>
              </w:rPr>
              <w:t>75 min</w:t>
            </w:r>
          </w:p>
        </w:tc>
        <w:tc>
          <w:tcPr>
            <w:tcW w:type="dxa" w:w="6552"/>
            <w:shd w:val="clear" w:color="auto" w:fill="E8F0FE"/>
          </w:tcPr>
          <w:p>
            <w:r/>
            <w:r>
              <w:rPr>
                <w:rFonts w:ascii="Arial" w:hAnsi="Arial"/>
                <w:b/>
                <w:sz w:val="19"/>
              </w:rPr>
              <w:t>Topic 3 concepts and demonstration</w:t>
            </w:r>
          </w:p>
        </w:tc>
      </w:tr>
      <w:tr>
        <w:trPr>
          <w:cantSplit/>
        </w:trPr>
        <w:tc>
          <w:tcPr>
            <w:tcW w:type="dxa" w:w="1584"/>
          </w:tcPr>
          <w:p>
            <w:r/>
            <w:r>
              <w:rPr>
                <w:rFonts w:ascii="Arial" w:hAnsi="Arial"/>
                <w:b w:val="0"/>
                <w:sz w:val="19"/>
              </w:rPr>
              <w:t>10:25–10:55</w:t>
            </w:r>
          </w:p>
        </w:tc>
        <w:tc>
          <w:tcPr>
            <w:tcW w:type="dxa" w:w="1224"/>
          </w:tcPr>
          <w:p>
            <w:r/>
            <w:r>
              <w:rPr>
                <w:rFonts w:ascii="Arial" w:hAnsi="Arial"/>
                <w:b w:val="0"/>
                <w:sz w:val="19"/>
              </w:rPr>
              <w:t>30 min</w:t>
            </w:r>
          </w:p>
        </w:tc>
        <w:tc>
          <w:tcPr>
            <w:tcW w:type="dxa" w:w="6552"/>
          </w:tcPr>
          <w:p>
            <w:r/>
            <w:r>
              <w:rPr>
                <w:rFonts w:ascii="Arial" w:hAnsi="Arial"/>
                <w:b w:val="0"/>
                <w:sz w:val="19"/>
              </w:rPr>
              <w:t>Lab 7 (Custom Dashboard Skill): Create and Apply a Custom Interactive Dashboard Skill</w:t>
            </w:r>
          </w:p>
        </w:tc>
      </w:tr>
      <w:tr>
        <w:trPr>
          <w:cantSplit/>
        </w:trPr>
        <w:tc>
          <w:tcPr>
            <w:tcW w:type="dxa" w:w="1584"/>
          </w:tcPr>
          <w:p>
            <w:r/>
            <w:r>
              <w:rPr>
                <w:rFonts w:ascii="Arial" w:hAnsi="Arial"/>
                <w:b w:val="0"/>
                <w:sz w:val="19"/>
              </w:rPr>
              <w:t>10:55–11:25</w:t>
            </w:r>
          </w:p>
        </w:tc>
        <w:tc>
          <w:tcPr>
            <w:tcW w:type="dxa" w:w="1224"/>
          </w:tcPr>
          <w:p>
            <w:r/>
            <w:r>
              <w:rPr>
                <w:rFonts w:ascii="Arial" w:hAnsi="Arial"/>
                <w:b w:val="0"/>
                <w:sz w:val="19"/>
              </w:rPr>
              <w:t>30 min</w:t>
            </w:r>
          </w:p>
        </w:tc>
        <w:tc>
          <w:tcPr>
            <w:tcW w:type="dxa" w:w="6552"/>
          </w:tcPr>
          <w:p>
            <w:r/>
            <w:r>
              <w:rPr>
                <w:rFonts w:ascii="Arial" w:hAnsi="Arial"/>
                <w:b w:val="0"/>
                <w:sz w:val="19"/>
              </w:rPr>
              <w:t>Lab 8 (Interactive Filters and Refresh): Use the Dashboard Skill for Filters, Refresh and Safe Reruns</w:t>
            </w:r>
          </w:p>
        </w:tc>
      </w:tr>
      <w:tr>
        <w:trPr>
          <w:cantSplit/>
        </w:trPr>
        <w:tc>
          <w:tcPr>
            <w:tcW w:type="dxa" w:w="1584"/>
            <w:shd w:val="clear" w:color="auto" w:fill="FFF4E5"/>
          </w:tcPr>
          <w:p>
            <w:r/>
            <w:r>
              <w:rPr>
                <w:rFonts w:ascii="Arial" w:hAnsi="Arial"/>
                <w:b w:val="0"/>
                <w:sz w:val="19"/>
              </w:rPr>
              <w:t>11:25–11:40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tcPr>
          <w:p>
            <w:r/>
            <w:r>
              <w:rPr>
                <w:rFonts w:ascii="Arial" w:hAnsi="Arial"/>
                <w:b w:val="0"/>
                <w:sz w:val="19"/>
              </w:rPr>
              <w:t>11:40–12:10</w:t>
            </w:r>
          </w:p>
        </w:tc>
        <w:tc>
          <w:tcPr>
            <w:tcW w:type="dxa" w:w="1224"/>
          </w:tcPr>
          <w:p>
            <w:r/>
            <w:r>
              <w:rPr>
                <w:rFonts w:ascii="Arial" w:hAnsi="Arial"/>
                <w:b w:val="0"/>
                <w:sz w:val="19"/>
              </w:rPr>
              <w:t>30 min</w:t>
            </w:r>
          </w:p>
        </w:tc>
        <w:tc>
          <w:tcPr>
            <w:tcW w:type="dxa" w:w="6552"/>
          </w:tcPr>
          <w:p>
            <w:r/>
            <w:r>
              <w:rPr>
                <w:rFonts w:ascii="Arial" w:hAnsi="Arial"/>
                <w:b w:val="0"/>
                <w:sz w:val="19"/>
              </w:rPr>
              <w:t>Lab 9 (Dashboard to presentation): Turn Dashboard Evidence into a Management Story</w:t>
            </w:r>
          </w:p>
        </w:tc>
      </w:tr>
      <w:tr>
        <w:trPr>
          <w:cantSplit/>
        </w:trPr>
        <w:tc>
          <w:tcPr>
            <w:tcW w:type="dxa" w:w="1584"/>
          </w:tcPr>
          <w:p>
            <w:r/>
            <w:r>
              <w:rPr>
                <w:rFonts w:ascii="Arial" w:hAnsi="Arial"/>
                <w:b w:val="0"/>
                <w:sz w:val="19"/>
              </w:rPr>
              <w:t>12:10–12:40</w:t>
            </w:r>
          </w:p>
        </w:tc>
        <w:tc>
          <w:tcPr>
            <w:tcW w:type="dxa" w:w="1224"/>
          </w:tcPr>
          <w:p>
            <w:r/>
            <w:r>
              <w:rPr>
                <w:rFonts w:ascii="Arial" w:hAnsi="Arial"/>
                <w:b w:val="0"/>
                <w:sz w:val="19"/>
              </w:rPr>
              <w:t>30 min</w:t>
            </w:r>
          </w:p>
        </w:tc>
        <w:tc>
          <w:tcPr>
            <w:tcW w:type="dxa" w:w="6552"/>
          </w:tcPr>
          <w:p>
            <w:r/>
            <w:r>
              <w:rPr>
                <w:rFonts w:ascii="Arial" w:hAnsi="Arial"/>
                <w:b w:val="0"/>
                <w:sz w:val="19"/>
              </w:rPr>
              <w:t>Lab 10 (Professional handoff): Refine and Present the HR Service Decision Deck</w:t>
            </w:r>
          </w:p>
        </w:tc>
      </w:tr>
      <w:tr>
        <w:trPr>
          <w:cantSplit/>
        </w:trPr>
        <w:tc>
          <w:tcPr>
            <w:tcW w:type="dxa" w:w="1584"/>
            <w:shd w:val="clear" w:color="auto" w:fill="FDE9D9"/>
          </w:tcPr>
          <w:p>
            <w:r/>
            <w:r>
              <w:rPr>
                <w:rFonts w:ascii="Arial" w:hAnsi="Arial"/>
                <w:b w:val="0"/>
                <w:sz w:val="19"/>
              </w:rPr>
              <w:t>12:40–13:40</w:t>
            </w:r>
          </w:p>
        </w:tc>
        <w:tc>
          <w:tcPr>
            <w:tcW w:type="dxa" w:w="1224"/>
            <w:shd w:val="clear" w:color="auto" w:fill="FDE9D9"/>
          </w:tcPr>
          <w:p>
            <w:r/>
            <w:r>
              <w:rPr>
                <w:rFonts w:ascii="Arial" w:hAnsi="Arial"/>
                <w:b w:val="0"/>
                <w:sz w:val="19"/>
              </w:rPr>
              <w:t>60 min</w:t>
            </w:r>
          </w:p>
        </w:tc>
        <w:tc>
          <w:tcPr>
            <w:tcW w:type="dxa" w:w="6552"/>
            <w:shd w:val="clear" w:color="auto" w:fill="FDE9D9"/>
          </w:tcPr>
          <w:p>
            <w:r/>
            <w:r>
              <w:rPr>
                <w:rFonts w:ascii="Arial" w:hAnsi="Arial"/>
                <w:b w:val="0"/>
                <w:sz w:val="19"/>
              </w:rPr>
              <w:t>Lunch</w:t>
            </w:r>
          </w:p>
        </w:tc>
      </w:tr>
      <w:tr>
        <w:trPr>
          <w:cantSplit/>
        </w:trPr>
        <w:tc>
          <w:tcPr>
            <w:tcW w:type="dxa" w:w="1584"/>
            <w:shd w:val="clear" w:color="auto" w:fill="E8F0FE"/>
          </w:tcPr>
          <w:p>
            <w:r/>
            <w:r>
              <w:rPr>
                <w:rFonts w:ascii="Arial" w:hAnsi="Arial"/>
                <w:b/>
                <w:sz w:val="19"/>
              </w:rPr>
              <w:t>13:40–14:55</w:t>
            </w:r>
          </w:p>
        </w:tc>
        <w:tc>
          <w:tcPr>
            <w:tcW w:type="dxa" w:w="1224"/>
            <w:shd w:val="clear" w:color="auto" w:fill="E8F0FE"/>
          </w:tcPr>
          <w:p>
            <w:r/>
            <w:r>
              <w:rPr>
                <w:rFonts w:ascii="Arial" w:hAnsi="Arial"/>
                <w:b w:val="0"/>
                <w:sz w:val="19"/>
              </w:rPr>
              <w:t>75 min</w:t>
            </w:r>
          </w:p>
        </w:tc>
        <w:tc>
          <w:tcPr>
            <w:tcW w:type="dxa" w:w="6552"/>
            <w:shd w:val="clear" w:color="auto" w:fill="E8F0FE"/>
          </w:tcPr>
          <w:p>
            <w:r/>
            <w:r>
              <w:rPr>
                <w:rFonts w:ascii="Arial" w:hAnsi="Arial"/>
                <w:b/>
                <w:sz w:val="19"/>
              </w:rPr>
              <w:t>Topic 4 concepts and Agent Builder demonstration, with screen walkthrough: ••• &gt; All Agents</w:t>
            </w:r>
          </w:p>
        </w:tc>
      </w:tr>
      <w:tr>
        <w:trPr>
          <w:cantSplit/>
        </w:trPr>
        <w:tc>
          <w:tcPr>
            <w:tcW w:type="dxa" w:w="1584"/>
          </w:tcPr>
          <w:p>
            <w:r/>
            <w:r>
              <w:rPr>
                <w:rFonts w:ascii="Arial" w:hAnsi="Arial"/>
                <w:b w:val="0"/>
                <w:sz w:val="19"/>
              </w:rPr>
              <w:t>14:55–15:25</w:t>
            </w:r>
          </w:p>
        </w:tc>
        <w:tc>
          <w:tcPr>
            <w:tcW w:type="dxa" w:w="1224"/>
          </w:tcPr>
          <w:p>
            <w:r/>
            <w:r>
              <w:rPr>
                <w:rFonts w:ascii="Arial" w:hAnsi="Arial"/>
                <w:b w:val="0"/>
                <w:sz w:val="19"/>
              </w:rPr>
              <w:t>30 min</w:t>
            </w:r>
          </w:p>
        </w:tc>
        <w:tc>
          <w:tcPr>
            <w:tcW w:type="dxa" w:w="6552"/>
          </w:tcPr>
          <w:p>
            <w:r/>
            <w:r>
              <w:rPr>
                <w:rFonts w:ascii="Arial" w:hAnsi="Arial"/>
                <w:b w:val="0"/>
                <w:sz w:val="19"/>
              </w:rPr>
              <w:t>Lab 11 (Agent Scope and Knowledge): Design the HR Policy Agent: Users, Knowledge and Skill</w:t>
            </w:r>
          </w:p>
        </w:tc>
      </w:tr>
      <w:tr>
        <w:trPr>
          <w:cantSplit/>
        </w:trPr>
        <w:tc>
          <w:tcPr>
            <w:tcW w:type="dxa" w:w="1584"/>
          </w:tcPr>
          <w:p>
            <w:r/>
            <w:r>
              <w:rPr>
                <w:rFonts w:ascii="Arial" w:hAnsi="Arial"/>
                <w:b w:val="0"/>
                <w:sz w:val="19"/>
              </w:rPr>
              <w:t>15:25–15:55</w:t>
            </w:r>
          </w:p>
        </w:tc>
        <w:tc>
          <w:tcPr>
            <w:tcW w:type="dxa" w:w="1224"/>
          </w:tcPr>
          <w:p>
            <w:r/>
            <w:r>
              <w:rPr>
                <w:rFonts w:ascii="Arial" w:hAnsi="Arial"/>
                <w:b w:val="0"/>
                <w:sz w:val="19"/>
              </w:rPr>
              <w:t>30 min</w:t>
            </w:r>
          </w:p>
        </w:tc>
        <w:tc>
          <w:tcPr>
            <w:tcW w:type="dxa" w:w="6552"/>
          </w:tcPr>
          <w:p>
            <w:r/>
            <w:r>
              <w:rPr>
                <w:rFonts w:ascii="Arial" w:hAnsi="Arial"/>
                <w:b w:val="0"/>
                <w:sz w:val="19"/>
              </w:rPr>
              <w:t>Lab 12 (Agent Configuration): Build the HR Agent: Instructions, Knowledge, Skill and Starter Prompts</w:t>
            </w:r>
          </w:p>
        </w:tc>
      </w:tr>
      <w:tr>
        <w:trPr>
          <w:cantSplit/>
        </w:trPr>
        <w:tc>
          <w:tcPr>
            <w:tcW w:type="dxa" w:w="1584"/>
            <w:shd w:val="clear" w:color="auto" w:fill="FFF4E5"/>
          </w:tcPr>
          <w:p>
            <w:r/>
            <w:r>
              <w:rPr>
                <w:rFonts w:ascii="Arial" w:hAnsi="Arial"/>
                <w:b w:val="0"/>
                <w:sz w:val="19"/>
              </w:rPr>
              <w:t>15:55–16:10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tcPr>
          <w:p>
            <w:r/>
            <w:r>
              <w:rPr>
                <w:rFonts w:ascii="Arial" w:hAnsi="Arial"/>
                <w:b w:val="0"/>
                <w:sz w:val="19"/>
              </w:rPr>
              <w:t>16:10–16:40</w:t>
            </w:r>
          </w:p>
        </w:tc>
        <w:tc>
          <w:tcPr>
            <w:tcW w:type="dxa" w:w="1224"/>
          </w:tcPr>
          <w:p>
            <w:r/>
            <w:r>
              <w:rPr>
                <w:rFonts w:ascii="Arial" w:hAnsi="Arial"/>
                <w:b w:val="0"/>
                <w:sz w:val="19"/>
              </w:rPr>
              <w:t>30 min</w:t>
            </w:r>
          </w:p>
        </w:tc>
        <w:tc>
          <w:tcPr>
            <w:tcW w:type="dxa" w:w="6552"/>
          </w:tcPr>
          <w:p>
            <w:r/>
            <w:r>
              <w:rPr>
                <w:rFonts w:ascii="Arial" w:hAnsi="Arial"/>
                <w:b w:val="0"/>
                <w:sz w:val="19"/>
              </w:rPr>
              <w:t>Lab 13 (Agent Test and Evaluation): Test Grounded HR Answers, Citations and Guardrails</w:t>
            </w:r>
          </w:p>
        </w:tc>
      </w:tr>
      <w:tr>
        <w:trPr>
          <w:cantSplit/>
        </w:trPr>
        <w:tc>
          <w:tcPr>
            <w:tcW w:type="dxa" w:w="1584"/>
          </w:tcPr>
          <w:p>
            <w:r/>
            <w:r>
              <w:rPr>
                <w:rFonts w:ascii="Arial" w:hAnsi="Arial"/>
                <w:b w:val="0"/>
                <w:sz w:val="19"/>
              </w:rPr>
              <w:t>16:40–17:10</w:t>
            </w:r>
          </w:p>
        </w:tc>
        <w:tc>
          <w:tcPr>
            <w:tcW w:type="dxa" w:w="1224"/>
          </w:tcPr>
          <w:p>
            <w:r/>
            <w:r>
              <w:rPr>
                <w:rFonts w:ascii="Arial" w:hAnsi="Arial"/>
                <w:b w:val="0"/>
                <w:sz w:val="19"/>
              </w:rPr>
              <w:t>30 min</w:t>
            </w:r>
          </w:p>
        </w:tc>
        <w:tc>
          <w:tcPr>
            <w:tcW w:type="dxa" w:w="6552"/>
          </w:tcPr>
          <w:p>
            <w:r/>
            <w:r>
              <w:rPr>
                <w:rFonts w:ascii="Arial" w:hAnsi="Arial"/>
                <w:b w:val="0"/>
                <w:sz w:val="19"/>
              </w:rPr>
              <w:t>Lab 14 (Governed Sharing and Enablement): Share the HR Agent with Named Users and Deliver Staff Enablement</w:t>
            </w:r>
          </w:p>
        </w:tc>
      </w:tr>
      <w:tr>
        <w:trPr>
          <w:cantSplit/>
        </w:trPr>
        <w:tc>
          <w:tcPr>
            <w:tcW w:type="dxa" w:w="1584"/>
            <w:shd w:val="clear" w:color="auto" w:fill="F3F5F8"/>
          </w:tcPr>
          <w:p>
            <w:r/>
            <w:r>
              <w:rPr>
                <w:rFonts w:ascii="Arial" w:hAnsi="Arial"/>
                <w:b w:val="0"/>
                <w:sz w:val="19"/>
              </w:rPr>
              <w:t>17:10–17:30</w:t>
            </w:r>
          </w:p>
        </w:tc>
        <w:tc>
          <w:tcPr>
            <w:tcW w:type="dxa" w:w="1224"/>
            <w:shd w:val="clear" w:color="auto" w:fill="F3F5F8"/>
          </w:tcPr>
          <w:p>
            <w:r/>
            <w:r>
              <w:rPr>
                <w:rFonts w:ascii="Arial" w:hAnsi="Arial"/>
                <w:b w:val="0"/>
                <w:sz w:val="19"/>
              </w:rPr>
              <w:t>20 min</w:t>
            </w:r>
          </w:p>
        </w:tc>
        <w:tc>
          <w:tcPr>
            <w:tcW w:type="dxa" w:w="6552"/>
            <w:shd w:val="clear" w:color="auto" w:fill="F3F5F8"/>
          </w:tcPr>
          <w:p>
            <w:r/>
            <w:r>
              <w:rPr>
                <w:rFonts w:ascii="Arial" w:hAnsi="Arial"/>
                <w:b w:val="0"/>
                <w:sz w:val="19"/>
              </w:rPr>
              <w:t>LO3-LO4 evidence, sharing gate and closing: 5 Principles of AI Security</w:t>
            </w:r>
          </w:p>
        </w:tc>
      </w:tr>
      <w:tr>
        <w:trPr>
          <w:cantSplit/>
        </w:trPr>
        <w:tc>
          <w:tcPr>
            <w:tcW w:type="dxa" w:w="1584"/>
            <w:shd w:val="clear" w:color="auto" w:fill="E8F7EE"/>
          </w:tcPr>
          <w:p>
            <w:r/>
            <w:r>
              <w:rPr>
                <w:rFonts w:ascii="Arial" w:hAnsi="Arial"/>
                <w:b w:val="0"/>
                <w:sz w:val="19"/>
              </w:rPr>
              <w:t>17:30–18:30</w:t>
            </w:r>
          </w:p>
        </w:tc>
        <w:tc>
          <w:tcPr>
            <w:tcW w:type="dxa" w:w="1224"/>
            <w:shd w:val="clear" w:color="auto" w:fill="E8F7EE"/>
          </w:tcPr>
          <w:p>
            <w:r/>
            <w:r>
              <w:rPr>
                <w:rFonts w:ascii="Arial" w:hAnsi="Arial"/>
                <w:b w:val="0"/>
                <w:sz w:val="19"/>
              </w:rPr>
              <w:t>60 min</w:t>
            </w:r>
          </w:p>
        </w:tc>
        <w:tc>
          <w:tcPr>
            <w:tcW w:type="dxa" w:w="6552"/>
            <w:shd w:val="clear" w:color="auto" w:fill="E8F7EE"/>
          </w:tcPr>
          <w:p>
            <w:r/>
            <w:r>
              <w:rPr>
                <w:rFonts w:ascii="Arial" w:hAnsi="Arial"/>
                <w:b w:val="0"/>
                <w:sz w:val="19"/>
              </w:rPr>
              <w:t>Practical Performance</w:t>
            </w:r>
          </w:p>
        </w:tc>
      </w:tr>
    </w:tbl>
    <w:p>
      <w:r>
        <w:rPr>
          <w:i/>
          <w:color w:val="555B66"/>
          <w:sz w:val="19"/>
        </w:rPr>
        <w:t>Approved counted duration: 420 minutes (7 hours) training plus 60 minutes (1 hour) assessment. Lunch and tea breaks are excluded.</w:t>
      </w:r>
    </w:p>
    <w:p>
      <w:pPr>
        <w:pStyle w:val="Heading1"/>
        <w:keepNext/>
      </w:pPr>
      <w:r>
        <w:t>Lab Reference (aligned to course topics)</w:t>
      </w:r>
    </w:p>
    <w:tbl>
      <w:tblPr>
        <w:tblStyle w:val="TableGrid"/>
        <w:tblW w:type="auto" w:w="0"/>
        <w:tblLayout w:type="fixed"/>
        <w:tblLook w:firstColumn="1" w:firstRow="1" w:lastColumn="0" w:lastRow="0" w:noHBand="0" w:noVBand="1" w:val="04A0"/>
      </w:tblPr>
      <w:tblGrid>
        <w:gridCol w:w="4896"/>
        <w:gridCol w:w="1872"/>
        <w:gridCol w:w="2592"/>
      </w:tblGrid>
      <w:tr>
        <w:trPr>
          <w:tblHeader w:val="true"/>
          <w:cantSplit/>
        </w:trPr>
        <w:tc>
          <w:tcPr>
            <w:tcW w:type="dxa" w:w="4896"/>
            <w:shd w:val="clear" w:color="auto" w:fill="1F6FEB"/>
          </w:tcPr>
          <w:p>
            <w:r/>
            <w:r>
              <w:rPr>
                <w:rFonts w:ascii="Arial" w:hAnsi="Arial"/>
                <w:b/>
                <w:color w:val="FFFFFF"/>
                <w:sz w:val="20"/>
              </w:rPr>
              <w:t>Topic</w:t>
            </w:r>
          </w:p>
        </w:tc>
        <w:tc>
          <w:tcPr>
            <w:tcW w:type="dxa" w:w="1872"/>
            <w:shd w:val="clear" w:color="auto" w:fill="1F6FEB"/>
          </w:tcPr>
          <w:p>
            <w:r/>
            <w:r>
              <w:rPr>
                <w:rFonts w:ascii="Arial" w:hAnsi="Arial"/>
                <w:b/>
                <w:color w:val="FFFFFF"/>
                <w:sz w:val="20"/>
              </w:rPr>
              <w:t>Coverage</w:t>
            </w:r>
          </w:p>
        </w:tc>
        <w:tc>
          <w:tcPr>
            <w:tcW w:type="dxa" w:w="2592"/>
            <w:shd w:val="clear" w:color="auto" w:fill="1F6FEB"/>
          </w:tcPr>
          <w:p>
            <w:r/>
            <w:r>
              <w:rPr>
                <w:rFonts w:ascii="Arial" w:hAnsi="Arial"/>
                <w:b/>
                <w:color w:val="FFFFFF"/>
                <w:sz w:val="20"/>
              </w:rPr>
              <w:t>Labs</w:t>
            </w:r>
          </w:p>
        </w:tc>
      </w:tr>
      <w:tr>
        <w:trPr>
          <w:cantSplit/>
        </w:trPr>
        <w:tc>
          <w:tcPr>
            <w:tcW w:type="dxa" w:w="4896"/>
            <w:shd w:val="clear" w:color="auto" w:fill="E8F0FE"/>
          </w:tcPr>
          <w:p>
            <w:r/>
            <w:r>
              <w:rPr>
                <w:rFonts w:ascii="Arial" w:hAnsi="Arial"/>
                <w:b/>
                <w:sz w:val="19"/>
              </w:rPr>
              <w:t>Topic 1: Overview of Microsoft Copilot</w:t>
            </w:r>
          </w:p>
        </w:tc>
        <w:tc>
          <w:tcPr>
            <w:tcW w:type="dxa" w:w="1872"/>
            <w:shd w:val="clear" w:color="auto" w:fill="E8F0FE"/>
          </w:tcPr>
          <w:p>
            <w:r/>
            <w:r>
              <w:rPr>
                <w:rFonts w:ascii="Arial" w:hAnsi="Arial"/>
                <w:b w:val="0"/>
                <w:sz w:val="19"/>
              </w:rPr>
              <w:t>K1 · A1</w:t>
            </w:r>
          </w:p>
        </w:tc>
        <w:tc>
          <w:tcPr>
            <w:tcW w:type="dxa" w:w="2592"/>
          </w:tcPr>
          <w:p>
            <w:r/>
            <w:r>
              <w:rPr>
                <w:rFonts w:ascii="Arial" w:hAnsi="Arial"/>
                <w:b w:val="0"/>
                <w:sz w:val="19"/>
              </w:rPr>
              <w:t>Lab 1, Lab 2</w:t>
            </w:r>
          </w:p>
        </w:tc>
      </w:tr>
      <w:tr>
        <w:trPr>
          <w:cantSplit/>
        </w:trPr>
        <w:tc>
          <w:tcPr>
            <w:tcW w:type="dxa" w:w="4896"/>
            <w:shd w:val="clear" w:color="auto" w:fill="E8F0FE"/>
          </w:tcPr>
          <w:p>
            <w:r/>
            <w:r>
              <w:rPr>
                <w:rFonts w:ascii="Arial" w:hAnsi="Arial"/>
                <w:b/>
                <w:sz w:val="19"/>
              </w:rPr>
              <w:t>Topic 2: Microsoft Copilot for Excel</w:t>
            </w:r>
          </w:p>
        </w:tc>
        <w:tc>
          <w:tcPr>
            <w:tcW w:type="dxa" w:w="1872"/>
            <w:shd w:val="clear" w:color="auto" w:fill="E8F0FE"/>
          </w:tcPr>
          <w:p>
            <w:r/>
            <w:r>
              <w:rPr>
                <w:rFonts w:ascii="Arial" w:hAnsi="Arial"/>
                <w:b w:val="0"/>
                <w:sz w:val="19"/>
              </w:rPr>
              <w:t>K3 · A2</w:t>
            </w:r>
          </w:p>
        </w:tc>
        <w:tc>
          <w:tcPr>
            <w:tcW w:type="dxa" w:w="2592"/>
          </w:tcPr>
          <w:p>
            <w:r/>
            <w:r>
              <w:rPr>
                <w:rFonts w:ascii="Arial" w:hAnsi="Arial"/>
                <w:b w:val="0"/>
                <w:sz w:val="19"/>
              </w:rPr>
              <w:t>Lab 3, Lab 4, Lab 5, Lab 6</w:t>
            </w:r>
          </w:p>
        </w:tc>
      </w:tr>
      <w:tr>
        <w:trPr>
          <w:cantSplit/>
        </w:trPr>
        <w:tc>
          <w:tcPr>
            <w:tcW w:type="dxa" w:w="4896"/>
            <w:shd w:val="clear" w:color="auto" w:fill="E8F0FE"/>
          </w:tcPr>
          <w:p>
            <w:r/>
            <w:r>
              <w:rPr>
                <w:rFonts w:ascii="Arial" w:hAnsi="Arial"/>
                <w:b/>
                <w:sz w:val="19"/>
              </w:rPr>
              <w:t>Topic 3: Create Interactive Dashboard with Microsoft Copilot</w:t>
            </w:r>
          </w:p>
        </w:tc>
        <w:tc>
          <w:tcPr>
            <w:tcW w:type="dxa" w:w="1872"/>
            <w:shd w:val="clear" w:color="auto" w:fill="E8F0FE"/>
          </w:tcPr>
          <w:p>
            <w:r/>
            <w:r>
              <w:rPr>
                <w:rFonts w:ascii="Arial" w:hAnsi="Arial"/>
                <w:b w:val="0"/>
                <w:sz w:val="19"/>
              </w:rPr>
              <w:t>K2 · A3</w:t>
            </w:r>
          </w:p>
        </w:tc>
        <w:tc>
          <w:tcPr>
            <w:tcW w:type="dxa" w:w="2592"/>
          </w:tcPr>
          <w:p>
            <w:r/>
            <w:r>
              <w:rPr>
                <w:rFonts w:ascii="Arial" w:hAnsi="Arial"/>
                <w:b w:val="0"/>
                <w:sz w:val="19"/>
              </w:rPr>
              <w:t>Lab 7, Lab 8, Lab 9, Lab 10</w:t>
            </w:r>
          </w:p>
        </w:tc>
      </w:tr>
      <w:tr>
        <w:trPr>
          <w:cantSplit/>
        </w:trPr>
        <w:tc>
          <w:tcPr>
            <w:tcW w:type="dxa" w:w="4896"/>
            <w:shd w:val="clear" w:color="auto" w:fill="E8F0FE"/>
          </w:tcPr>
          <w:p>
            <w:r/>
            <w:r>
              <w:rPr>
                <w:rFonts w:ascii="Arial" w:hAnsi="Arial"/>
                <w:b/>
                <w:sz w:val="19"/>
              </w:rPr>
              <w:t>Topic 4: Create Microsoft Agent</w:t>
            </w:r>
          </w:p>
        </w:tc>
        <w:tc>
          <w:tcPr>
            <w:tcW w:type="dxa" w:w="1872"/>
            <w:shd w:val="clear" w:color="auto" w:fill="E8F0FE"/>
          </w:tcPr>
          <w:p>
            <w:r/>
            <w:r>
              <w:rPr>
                <w:rFonts w:ascii="Arial" w:hAnsi="Arial"/>
                <w:b w:val="0"/>
                <w:sz w:val="19"/>
              </w:rPr>
              <w:t>K4 · A4</w:t>
            </w:r>
          </w:p>
        </w:tc>
        <w:tc>
          <w:tcPr>
            <w:tcW w:type="dxa" w:w="2592"/>
          </w:tcPr>
          <w:p>
            <w:r/>
            <w:r>
              <w:rPr>
                <w:rFonts w:ascii="Arial" w:hAnsi="Arial"/>
                <w:b w:val="0"/>
                <w:sz w:val="19"/>
              </w:rPr>
              <w:t>Lab 11, Lab 12, Lab 13, Lab 14</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