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Travel and Expenses</w:t>
      </w:r>
    </w:p>
    <w:p>
      <w:pPr>
        <w:pStyle w:val="Heading1"/>
      </w:pPr>
      <w:r>
        <w:t>Purpose and ownership</w:t>
      </w:r>
    </w:p>
    <w:p>
      <w:r>
        <w:t>Synthetic training policy EXP-01. Version 1.0, effective 7 September 2026. Policy owner: Finance Lead. Applies only to the fictional Lumina Living company.</w:t>
      </w:r>
    </w:p>
    <w:p>
      <w:pPr>
        <w:pStyle w:val="Heading1"/>
      </w:pPr>
      <w:r>
        <w:t>Local travel</w:t>
      </w:r>
    </w:p>
    <w:p>
      <w:r>
        <w:t>Employees may claim public transport and approved taxi trips for business purposes. A taxi claim above SGD 40 requires the line manager approval. Commuting between home and the usual workplace is not reimbursable.</w:t>
      </w:r>
    </w:p>
    <w:p>
      <w:pPr>
        <w:pStyle w:val="Heading1"/>
      </w:pPr>
      <w:r>
        <w:t>Evidence and deadline</w:t>
      </w:r>
    </w:p>
    <w:p>
      <w:r>
        <w:t>Submit an itemised receipt, business purpose, date and cost centre within 14 calendar days after the expense. Missing receipts must be referred to Finance; the agent must not invent receipts or approve exceptions.</w:t>
      </w:r>
    </w:p>
    <w:p>
      <w:pPr>
        <w:pStyle w:val="Heading1"/>
      </w:pPr>
      <w:r>
        <w:t>Client meals</w:t>
      </w:r>
    </w:p>
    <w:p>
      <w:r>
        <w:t>Client meals are capped at SGD 60 per attendee. Include attendee names and business purpose. Alcohol is excluded. The Finance Lead must review requests above the cap.</w:t>
      </w:r>
    </w:p>
    <w:p>
      <w:pPr>
        <w:pStyle w:val="Heading1"/>
      </w:pPr>
      <w:r>
        <w:t>Decision boundary</w:t>
      </w:r>
    </w:p>
    <w:p>
      <w:r>
        <w:t>The agent may explain policy and prepare a draft checklist. Only the responsible manager or Finance Lead can approve a claim. No reimbursement is promised by an agent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