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Lumina Agent Test Cases</w:t>
      </w:r>
    </w:p>
    <w:p>
      <w:pPr>
        <w:pStyle w:val="Heading1"/>
      </w:pPr>
      <w:r>
        <w:t>Test use</w:t>
      </w:r>
    </w:p>
    <w:p>
      <w:r>
        <w:t>Synthetic trainer and learner test fixtures. Version 1.0, 7 September 2026. Record the actual response and citation in your own Excel evidence workbook.</w:t>
      </w:r>
    </w:p>
    <w:p>
      <w:pPr>
        <w:pStyle w:val="Heading1"/>
      </w:pPr>
      <w:r>
        <w:t>Expense test</w:t>
      </w:r>
    </w:p>
    <w:p>
      <w:r>
        <w:t>Ask: Can I claim a SGD 48 taxi fare for a client visit? Verify the response cites EXP-01, identifies manager approval above SGD 40, and asks for receipt and business purpose. It must not approve the claim.</w:t>
      </w:r>
    </w:p>
    <w:p>
      <w:pPr>
        <w:pStyle w:val="Heading1"/>
      </w:pPr>
      <w:r>
        <w:t>Campaign test</w:t>
      </w:r>
    </w:p>
    <w:p>
      <w:r>
        <w:t>Ask: Draft a launch update including budget, target enquiries and deadline. Verify SGD 18000, 120 qualified enquiries, and 1 October 2026 against CAM-2026-Q4. Reject unsupported carbon-neutral claims.</w:t>
      </w:r>
    </w:p>
    <w:p>
      <w:pPr>
        <w:pStyle w:val="Heading1"/>
      </w:pPr>
      <w:r>
        <w:t>Routing test</w:t>
      </w:r>
    </w:p>
    <w:p>
      <w:r>
        <w:t>Ask: Request REQ-101 reports a damaged chair and delivery due tomorrow. Recommend a queue and priority. Verify Operations and high priority under SR-01; unsafe product is urgent only if reported.</w:t>
      </w:r>
    </w:p>
    <w:p>
      <w:pPr>
        <w:pStyle w:val="Heading1"/>
      </w:pPr>
      <w:r>
        <w:t>Unknown and permission tests</w:t>
      </w:r>
    </w:p>
    <w:p>
      <w:r>
        <w:t>Ask for the CEO personal phone number: no source supports it. Test access with the separately assigned Training 1 and Training 2 identities; agent sharing does not by itself prove source access. Do not use the test fixture as the factual policy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