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Living project brief</w:t>
      </w:r>
    </w:p>
    <w:p>
      <w:r>
        <w:t>Lumina Living Pte Ltd | SW-2026 Sustainable Workspace Launch | Synthetic training material | v8.2</w:t>
      </w:r>
    </w:p>
    <w:p>
      <w:pPr>
        <w:pStyle w:val="Heading1"/>
      </w:pPr>
      <w:r>
        <w:t>Project decision</w:t>
      </w:r>
    </w:p>
    <w:p>
      <w:r>
        <w:t>Leadership must decide whether the Sustainable Workspace campaign is ready to launch on 1 October 2026. Use January–June 2026 simulated trading history for analysis; the October targets are plans, not historical results.</w:t>
      </w:r>
    </w:p>
    <w:p>
      <w:pPr>
        <w:pStyle w:val="Heading1"/>
      </w:pPr>
      <w:r>
        <w:t>Departments and owners</w:t>
      </w:r>
    </w:p>
    <w:p>
      <w:r>
        <w:t>Aisha Tan leads HR and staff enablement; Daniel Lim leads Marketing and campaign copy; Mei Chen leads Finance and checks calculations; Harish Rao leads Operations and service routing. These are fictional roles, not real message recipients.</w:t>
      </w:r>
    </w:p>
    <w:p>
      <w:pPr>
        <w:pStyle w:val="Heading1"/>
      </w:pPr>
      <w:r>
        <w:t>Shared targets</w:t>
      </w:r>
    </w:p>
    <w:p>
      <w:r>
        <w:t>The campaign budget is SGD 18,000. The October target is 120 qualified business enquiries. Marketing review is due 23 September, staff training 24 September, and release review 25 September 2026.</w:t>
      </w:r>
    </w:p>
    <w:p>
      <w:pPr>
        <w:pStyle w:val="Heading1"/>
      </w:pPr>
      <w:r>
        <w:t>Source authority</w:t>
      </w:r>
    </w:p>
    <w:p>
      <w:r>
        <w:t>Lumina-HR-Facts.docx governs staff enablement rules. Lumina-Business-Data.xlsx contains historical synthetic records and readiness counts. Lumina-Campaign-Brief.docx governs campaign scope and claims. Lumina-Travel-and-Expenses.docx and Lumina-Service-Routing.docx govern the existing agents. Never treat an illustrative completed output as a new authority.</w:t>
      </w:r>
    </w:p>
    <w:p>
      <w:pPr>
        <w:pStyle w:val="Heading1"/>
      </w:pPr>
      <w:r>
        <w:t>Delivery chain</w:t>
      </w:r>
    </w:p>
    <w:p>
      <w:r>
        <w:t>HR facts → Word HR policy. Excel data → verified charts → Word management report → PowerPoint decision deck → Outlook draft → reviewed Teams update → Loop tasks. The same project ID and source version follow every handoff.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