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Lumina Campaign Brief</w:t>
      </w:r>
    </w:p>
    <w:p>
      <w:pPr>
        <w:pStyle w:val="Heading1"/>
      </w:pPr>
      <w:r>
        <w:t>Campaign record</w:t>
      </w:r>
    </w:p>
    <w:p>
      <w:r>
        <w:t>Synthetic campaign CAM-2026-Q4. Version 1.0, effective 7 September 2026. Owner: Marketing Lead. Campaign name: Sustainable Workspace.</w:t>
      </w:r>
    </w:p>
    <w:p>
      <w:pPr>
        <w:pStyle w:val="Heading1"/>
      </w:pPr>
      <w:r>
        <w:t>Objectives and budget</w:t>
      </w:r>
    </w:p>
    <w:p>
      <w:r>
        <w:t>The target is 120 qualified business enquiries during October 2026. The approved campaign budget is SGD 18000. These are training targets, not actual company results.</w:t>
      </w:r>
    </w:p>
    <w:p>
      <w:pPr>
        <w:pStyle w:val="Heading1"/>
      </w:pPr>
      <w:r>
        <w:t>Milestones</w:t>
      </w:r>
    </w:p>
    <w:p>
      <w:r>
        <w:t>Draft creative is due 18 September 2026. Marketing review is due 23 September 2026. Launch is scheduled for 1 October 2026. The performance review is scheduled for 5 November 2026.</w:t>
      </w:r>
    </w:p>
    <w:p>
      <w:pPr>
        <w:pStyle w:val="Heading1"/>
      </w:pPr>
      <w:r>
        <w:t>Approved claims</w:t>
      </w:r>
    </w:p>
    <w:p>
      <w:r>
        <w:t>Use the phrase workspace products designed for reuse and repair. Do not claim carbon neutrality, a percentage carbon reduction, or an external certification: none is evidenced in this brief.</w:t>
      </w:r>
    </w:p>
    <w:p>
      <w:pPr>
        <w:pStyle w:val="Heading1"/>
      </w:pPr>
      <w:r>
        <w:t>Release checklist</w:t>
      </w:r>
    </w:p>
    <w:p>
      <w:r>
        <w:t>Marketing Lead verifies copy and audience; Finance Lead verifies budget; the Campaign Owner approves release. All email messages and presentation outputs remain drafts until reviewed.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