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Evidence-grounded marketing report</w:t>
      </w:r>
    </w:p>
    <w:p>
      <w:r>
        <w:t>Lumina Living Pte Ltd | SW-2026 | Synthetic training sample | DRAFT FOR REVIEW</w:t>
      </w:r>
    </w:p>
    <w:p>
      <w:pPr>
        <w:pStyle w:val="Heading2"/>
      </w:pPr>
      <w:r>
        <w:t>Objective and audience</w:t>
      </w:r>
    </w:p>
    <w:p>
      <w:r>
        <w:t>Plan the 1 October 2026 workspace launch for Singapore workplace buyers. Campaign budget SGD18,000 and target 120 qualified enquiries come from CAM-2026Q4, not observed outcomes. Audience selection is a proposal requiring customer validation.</w:t>
      </w:r>
    </w:p>
    <w:p>
      <w:pPr>
        <w:pStyle w:val="Heading2"/>
      </w:pPr>
      <w:r>
        <w:t>Company evidence</w:t>
      </w:r>
    </w:p>
    <w:p>
      <w:r>
        <w:t>The synthetic sales ledger records SGD933,290 revenue and SGD412,192.59 margin over96 monthly summaries. Events contributes the highest absolute historical margin, SGD121,247.22. This does not establish incremental advertising return or profitability after overhead. Source: Lumina-Business-Data.xlsx, Campaign_Data I2:J97 and Channels D2:D5.</w:t>
      </w:r>
    </w:p>
    <w:p>
      <w:pPr>
        <w:pStyle w:val="Heading2"/>
      </w:pPr>
      <w:r>
        <w:t>External market context</w:t>
      </w:r>
    </w:p>
    <w:p>
      <w:r>
        <w:t>WEB-03 identifies furniture/household retailers within the digital roadmap and describes omnichannel tools. WEB-02 supports reviewing retail digital maturity. These sources support a digital-channel experiment; they do not quantify furniture demand or prove which campaign will succeed.</w:t>
      </w:r>
    </w:p>
    <w:p>
      <w:pPr>
        <w:pStyle w:val="Heading2"/>
      </w:pPr>
      <w:r>
        <w:t>Proposed campaign, not approved allocation</w:t>
      </w:r>
    </w:p>
    <w:p>
      <w:r>
        <w:t>Test coordinated event follow-up and a web landing page. Propose SGD8,000 events, SGD6,000 web content, SGD2,000 partner material and SGD2,000 contingency: totalSGD18,000. Track qualified enquiries by source, cost per enquiry and later order value. Do not compute ROI without attributable incremental profit and spend.</w:t>
      </w:r>
    </w:p>
    <w:p>
      <w:pPr>
        <w:pStyle w:val="Heading2"/>
      </w:pPr>
      <w:r>
        <w:t>Sample message</w:t>
      </w:r>
    </w:p>
    <w:p>
      <w:r>
        <w:t>Build a more practical workspace with Lumina Living. Explore our workspace range and discuss your requirements with our team. Book a consultation. Product performance, certification, price and availability require approved supporting facts before publication.</w:t>
      </w:r>
    </w:p>
    <w:p>
      <w:pPr>
        <w:pStyle w:val="Heading2"/>
      </w:pPr>
      <w:r>
        <w:t>Review and handoff</w:t>
      </w:r>
    </w:p>
    <w:p>
      <w:r>
        <w:t>Daniel reviews claims under A02; Mei reviews budget under A03. Keep proposed allocations unapproved. Carry the source ledger into the strategy report and final decision deck. Prepared example, not evidence that Copilot generated or published content.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