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strategy decision report</w:t>
      </w:r>
    </w:p>
    <w:p>
      <w:r>
        <w:t>Lumina Living Pte Ltd | SW-2026 | Synthetic training sample | DRAFT FOR REVIEW</w:t>
      </w:r>
    </w:p>
    <w:p>
      <w:pPr>
        <w:pStyle w:val="Heading2"/>
      </w:pPr>
      <w:r>
        <w:t>Decision requested</w:t>
      </w:r>
    </w:p>
    <w:p>
      <w:r>
        <w:t>Approve a bounded channel test within the existing SGD18,000 ceiling, conditional on Finance, Marketing and Operations review. Do not increase the approved budget based on the unapproved meeting suggestion.</w:t>
      </w:r>
    </w:p>
    <w:p>
      <w:pPr>
        <w:pStyle w:val="Heading2"/>
      </w:pPr>
      <w:r>
        <w:t>Evidence and options</w:t>
      </w:r>
    </w:p>
    <w:p>
      <w:r>
        <w:t>Option1: prioritise event follow-up, informed by highest historical absolute margin. Option2: web-led content experiment, informed by WEB-03 digital-channel guidance. Option3: defer expansion until attribution and HR readiness improve. Historical association and policy guidance are not proof of causal sales lift.</w:t>
      </w:r>
    </w:p>
    <w:p>
      <w:pPr>
        <w:pStyle w:val="Heading2"/>
      </w:pPr>
      <w:r>
        <w:t>Financial scenarios</w:t>
      </w:r>
    </w:p>
    <w:p>
      <w:r>
        <w:t>Using June revenue SGD217,705, illustrative -10%,0%,+10% scenarios yield SGD195,934.50,217,705.00,239,475.50. The worked Excel sample holds the historical blended direct-cost ratio constant. Label this assumption; no net-profit or cash-flow forecast is possible from this ledger.</w:t>
      </w:r>
    </w:p>
    <w:p>
      <w:pPr>
        <w:pStyle w:val="Heading2"/>
      </w:pPr>
      <w:r>
        <w:t>People and execution</w:t>
      </w:r>
    </w:p>
    <w:p>
      <w:r>
        <w:t>47 of56 staff are trained. Complete nine outstanding places through A01 and verify fulfilment through A04. WEB-01 supplies general AI-adoption context only; it cannot establish Lumina ROI or readiness.</w:t>
      </w:r>
    </w:p>
    <w:p>
      <w:pPr>
        <w:pStyle w:val="Heading2"/>
      </w:pPr>
      <w:r>
        <w:t>Recommendation and monitoring</w:t>
      </w:r>
    </w:p>
    <w:p>
      <w:r>
        <w:t>Proposal: run a small measurable event/web test, retaining the SGD18,000 cap. Daniel validates claims; Mei validates measurement and allocations; Harish confirms fulfilment. Carry A01–A04 unchanged into the Outlook draft, Teams post and shared Loop tracker. A daily review is manual unless an actual configured flow is evidenced.</w:t>
      </w:r>
    </w:p>
    <w:p>
      <w:pPr>
        <w:pStyle w:val="Heading2"/>
      </w:pPr>
      <w:r>
        <w:t>Grounding and unknowns</w:t>
      </w:r>
    </w:p>
    <w:p>
      <w:r>
        <w:t>Internal: CAM-2026Q4, HR-01, Monthly_Finance B7 and Scenarios C2:F4. External: WEB-01/02/03 in Lumina-Market-Knowledge.docx. Missing: representative customer research, competitor prices, attribution, overhead and demand forecasts. Record gaps instead of filling them with invented facts.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