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HR source facts</w:t>
      </w:r>
    </w:p>
    <w:p>
      <w:r>
        <w:t>Lumina Living Pte Ltd | SW-2026 Sustainable Workspace Launch | Synthetic training material | v8.2</w:t>
      </w:r>
    </w:p>
    <w:p>
      <w:pPr>
        <w:pStyle w:val="Heading1"/>
      </w:pPr>
      <w:r>
        <w:t>Authority and scope</w:t>
      </w:r>
    </w:p>
    <w:p>
      <w:r>
        <w:t>HR-01 version 1.0, effective for the September 2026 training pilot. Owner: Aisha Tan, HR Lead. Applies to the 56 employees assigned to SW-2026. These are fictional internal rules.</w:t>
      </w:r>
    </w:p>
    <w:p>
      <w:pPr>
        <w:pStyle w:val="Heading1"/>
      </w:pPr>
      <w:r>
        <w:t>Staff and readiness</w:t>
      </w:r>
    </w:p>
    <w:p>
      <w:r>
        <w:t>HR: 12 assigned, 10 trained. Marketing: 16 assigned, 14 trained. Finance: 8 assigned, 8 trained. Operations: 20 assigned, 15 trained. Counts are a simulation as at 7 September 2026.</w:t>
      </w:r>
    </w:p>
    <w:p>
      <w:pPr>
        <w:pStyle w:val="Heading1"/>
      </w:pPr>
      <w:r>
        <w:t>Training and acceptable use</w:t>
      </w:r>
    </w:p>
    <w:p>
      <w:r>
        <w:t>Each assigned employee completes four hours of Microsoft 365 Copilot training before release. Managers arrange cover; Aisha records completion and exceptions by 24 September. Use synthetic or approved internal information only. Do not enter passwords or personal customer or employee records into training prompts.</w:t>
      </w:r>
    </w:p>
    <w:p>
      <w:pPr>
        <w:pStyle w:val="Heading1"/>
      </w:pPr>
      <w:r>
        <w:t>Review and escalation</w:t>
      </w:r>
    </w:p>
    <w:p>
      <w:r>
        <w:t>A named reviewer checks numbers, source citations and recipients before release. Managers review staff outputs; Mei checks financial figures; Daniel checks marketing claims. Report an accidental disclosure to Aisha and the IT contact assigned by the trainer; the IT contact is not specified in this source.</w:t>
      </w:r>
    </w:p>
    <w:p>
      <w:pPr>
        <w:pStyle w:val="Heading1"/>
      </w:pPr>
      <w:r>
        <w:t>Expenses and open questions</w:t>
      </w:r>
    </w:p>
    <w:p>
      <w:r>
        <w:t>Training travel follows EXP-01 in Lumina-Travel-and-Expenses.docx. This source does not define annual leave, salary, overtime rates or remote-working entitlements. Record those questions as not established; do not invent terms.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