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launch review communication</w:t>
      </w:r>
    </w:p>
    <w:p>
      <w:r>
        <w:t>SW-2026 | Synthetic training example</w:t>
      </w:r>
    </w:p>
    <w:p>
      <w:r>
        <w:t>Synthetic SW-2026 review, 7 September 2026</w:t>
      </w:r>
    </w:p>
    <w:p>
      <w:r>
        <w:t>Aisha:47 of 56 staff have completed training. I own A01, remaining nine by 24 September.</w:t>
      </w:r>
    </w:p>
    <w:p>
      <w:r>
        <w:t>Daniel:I propose a SGD 2,000 budget increase.</w:t>
      </w:r>
    </w:p>
    <w:p>
      <w:r>
        <w:t>Mei:No increase is approved. Retain SGD 18,000. I own A03, verification by 25 September.</w:t>
      </w:r>
    </w:p>
    <w:p>
      <w:r>
        <w:t>Daniel:I own A02, copy review by 23 September. The brief does not support carbon-neutral claims.</w:t>
      </w:r>
    </w:p>
    <w:p>
      <w:r>
        <w:t>Harish:I own A04, service readiness by 25 September.</w:t>
      </w:r>
    </w:p>
    <w:p>
      <w:r>
        <w:t>Chair:Launch remains planned for1 October, subject to the25 September review. Target120 qualified enquiries is a plan, not an achieved result.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