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launch readiness report</w:t>
      </w:r>
    </w:p>
    <w:p>
      <w:r>
        <w:t>SW-2026 | Synthetic training example | DRAFT FOR REVIEW | 7 September 2026</w:t>
      </w:r>
    </w:p>
    <w:p>
      <w:r>
        <w:t>Decision requested: retain the planned SGD 18,000 budget and close nine staff-training gaps before the 25 September release review. Launch remains planned for 1 October; the target is 120 qualified enquiries.</w:t>
      </w:r>
    </w:p>
    <w:p>
      <w:r>
        <w:t>Jan–Jun revenue is SGD 933,290.00; cost is SGD 521,097.41; margin is SGD 412,192.59. Events contributes the highest margin: SGD 121,247.22. Margin is revenue minus supplied costs, not net profit. This history does not establish an October forecast or prove that reallocating spend will reproduce the result.</w:t>
      </w:r>
    </w:p>
    <w:p>
      <w:r>
        <w:drawing>
          <wp:inline xmlns:a="http://schemas.openxmlformats.org/drawingml/2006/main" xmlns:pic="http://schemas.openxmlformats.org/drawingml/2006/picture">
            <wp:extent cx="6217920" cy="3606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na-Analysis-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Sources: Lumina-Business-Data.xlsx — Campaign_Data!I2:J97; Monthly!A1:D7; Channels!A1:D5; HR_Readiness!A1:E6. Readiness is a simulated 7 September snapshot: 47/56 trained (83.9%). CAM-2026-Q4 supplies the planned budget, target and launch date.</w:t>
      </w:r>
    </w:p>
    <w:p>
      <w:r>
        <w:t>Actions: A01 Aisha — train remaining staff by 24 September. A02 Daniel — review copy by 23 September. A03 Mei — verify numbers by 25 September. A04 Harish — service readiness by 25 September. Record evidence and review status in the same Loop action register. Carbon-neutral claims are not supported. This draft has not been approved, sent or posted.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