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F6FEB"/>
          </w:tcPr>
          <w:p>
            <w:r/>
            <w:r>
              <w:rPr>
                <w:b/>
                <w:color w:val="FFFFFF"/>
                <w:sz w:val="19"/>
              </w:rPr>
              <w:t>Version Number</w:t>
            </w:r>
          </w:p>
        </w:tc>
        <w:tc>
          <w:tcPr>
            <w:tcW w:type="dxa" w:w="2592"/>
            <w:shd w:val="clear" w:color="auto" w:fill="1F6FEB"/>
          </w:tcPr>
          <w:p>
            <w:r/>
            <w:r>
              <w:rPr>
                <w:b/>
                <w:color w:val="FFFFFF"/>
                <w:sz w:val="19"/>
              </w:rPr>
              <w:t>Effective Date of Release</w:t>
            </w:r>
          </w:p>
        </w:tc>
        <w:tc>
          <w:tcPr>
            <w:tcW w:type="dxa" w:w="2592"/>
            <w:shd w:val="clear" w:color="auto" w:fill="1F6FEB"/>
          </w:tcPr>
          <w:p>
            <w:r/>
            <w:r>
              <w:rPr>
                <w:b/>
                <w:color w:val="FFFFFF"/>
                <w:sz w:val="19"/>
              </w:rPr>
              <w:t>Summary of Included Changes</w:t>
            </w:r>
          </w:p>
        </w:tc>
        <w:tc>
          <w:tcPr>
            <w:tcW w:type="dxa" w:w="2592"/>
            <w:shd w:val="clear" w:color="auto" w:fill="1F6FEB"/>
          </w:tcPr>
          <w:p>
            <w:r/>
            <w:r>
              <w:rPr>
                <w:b/>
                <w:color w:val="FFFFFF"/>
                <w:sz w:val="19"/>
              </w:rPr>
              <w:t>Author</w:t>
            </w:r>
          </w:p>
        </w:tc>
      </w:tr>
      <w:tr>
        <w:tc>
          <w:tcPr>
            <w:tcW w:type="dxa" w:w="2592"/>
          </w:tcPr>
          <w:p>
            <w:r/>
            <w:r>
              <w:rPr>
                <w:sz w:val="19"/>
              </w:rPr>
              <w:t>8.0</w:t>
            </w:r>
          </w:p>
        </w:tc>
        <w:tc>
          <w:tcPr>
            <w:tcW w:type="dxa" w:w="2592"/>
          </w:tcPr>
          <w:p>
            <w:r/>
            <w:r>
              <w:rPr>
                <w:sz w:val="19"/>
              </w:rPr>
              <w:t>15 August 2026</w:t>
            </w:r>
          </w:p>
        </w:tc>
        <w:tc>
          <w:tcPr>
            <w:tcW w:type="dxa" w:w="2592"/>
          </w:tcPr>
          <w:p>
            <w:r/>
            <w:r>
              <w:rPr>
                <w:sz w:val="19"/>
              </w:rPr>
              <w:t>Two-day lesson plan aligned to the v8.0 visual deck, sixteen progressive Microsoft 365 activities and the preserved WA/PP assessment structure.</w:t>
            </w:r>
          </w:p>
        </w:tc>
        <w:tc>
          <w:tcPr>
            <w:tcW w:type="dxa" w:w="2592"/>
          </w:tcPr>
          <w:p>
            <w:r/>
            <w:r>
              <w:rPr>
                <w:sz w:val="19"/>
              </w:rPr>
              <w:t>Dr Alfred Ang</w:t>
            </w:r>
          </w:p>
        </w:tc>
      </w:tr>
      <w:tr>
        <w:tc>
          <w:tcPr>
            <w:tcW w:type="dxa" w:w="2592"/>
          </w:tcPr>
          <w:p>
            <w:r>
              <w:t>8.1</w:t>
            </w:r>
          </w:p>
        </w:tc>
        <w:tc>
          <w:tcPr>
            <w:tcW w:type="dxa" w:w="2592"/>
          </w:tcPr>
          <w:p>
            <w:r>
              <w:t>7 September 2026</w:t>
            </w:r>
          </w:p>
        </w:tc>
        <w:tc>
          <w:tcPr>
            <w:tcW w:type="dxa" w:w="2592"/>
          </w:tcPr>
          <w:p>
            <w:r>
              <w:t>Retains v8.0 content; adds SharePoint agents, synthetic knowledge, visual mechanisms and Labs 12–16 extensions.</w:t>
            </w:r>
          </w:p>
        </w:tc>
        <w:tc>
          <w:tcPr>
            <w:tcW w:type="dxa" w:w="2592"/>
          </w:tcPr>
          <w:p>
            <w:r>
              <w:t>Dr Alfred Ang</w:t>
            </w:r>
          </w:p>
        </w:tc>
      </w:tr>
      <w:tr>
        <w:tc>
          <w:tcPr>
            <w:tcW w:type="dxa" w:w="2592"/>
          </w:tcPr>
          <w:p>
            <w:r>
              <w:t>8.2</w:t>
            </w:r>
          </w:p>
        </w:tc>
        <w:tc>
          <w:tcPr>
            <w:tcW w:type="dxa" w:w="2592"/>
          </w:tcPr>
          <w:p>
            <w:r>
              <w:t>7 September 2026</w:t>
            </w:r>
          </w:p>
        </w:tc>
        <w:tc>
          <w:tcPr>
            <w:tcW w:type="dxa" w:w="2592"/>
          </w:tcPr>
          <w:p>
            <w:r>
              <w:t>From v8.1 (7 September 2026): unified 16 Lumina SW-2026 labs, three worked prompt examples, shared data, charts and app handoffs; LG/LP/PPT and lab resources updated.</w:t>
            </w:r>
          </w:p>
        </w:tc>
        <w:tc>
          <w:tcPr>
            <w:tcW w:type="dxa" w:w="2592"/>
          </w:tcPr>
          <w:p>
            <w:r>
              <w:t>Dr Alfred Ang</w:t>
            </w:r>
          </w:p>
        </w:tc>
      </w:tr>
    </w:tbl>
    <w:p>
      <w:r>
        <w:br w:type="page"/>
      </w:r>
    </w:p>
    <w:p>
      <w:pPr>
        <w:spacing w:after="120"/>
      </w:pPr>
      <w:r>
        <w:rPr>
          <w:b/>
          <w:color w:val="111827"/>
          <w:sz w:val="24"/>
        </w:rPr>
        <w:t>TABLE OF CONTENTS</w:t>
      </w:r>
    </w:p>
    <w:p>
      <w:r>
        <w:t>Course Overview ................................ 4</w:t>
        <w:br/>
        <w:t>Learning Outcomes ........................... 4</w:t>
        <w:br/>
        <w:t>Daily Schedule .................................... 4</w:t>
        <w:br/>
        <w:t>Topic-by-Topic Delivery Guide ........ 5</w:t>
        <w:br/>
        <w:t>Resources Required ........................... 7</w:t>
        <w:br/>
        <w:t>Assessment .......................................... 8</w:t>
        <w:br/>
        <w:t>SharePoint agent extension delivery notes .... 9</w:t>
        <w:br/>
        <w:t>Lumina Living connected workflow ........ 10</w:t>
        <w:br/>
        <w:t>Assessment and classroom alignment ........ 11</w:t>
      </w:r>
    </w:p>
    <w:p>
      <w:r>
        <w:br w:type="page"/>
      </w:r>
    </w:p>
    <w:p>
      <w:pPr>
        <w:pStyle w:val="Heading1"/>
      </w:pPr>
      <w:r>
        <w:t>Course Overview</w:t>
      </w:r>
    </w:p>
    <w:p>
      <w:r>
        <w:t>Enhance Work Productivity with Microsoft 365 Copilot is a two-day, 16-hour WSQ programme aligned to Digital Technology Adoption and Innovation (ACC-ICT-4004-1.1). Learners apply Microsoft 365 Copilot across Word, PowerPoint, Excel, Outlook, Teams and Loop before designing and operating a governed Microsoft 365 Copilot agent pipeline.</w:t>
      </w:r>
    </w:p>
    <w:tbl>
      <w:tblPr>
        <w:tblStyle w:val="TableGrid"/>
        <w:tblW w:type="auto" w:w="0"/>
        <w:tblLook w:firstColumn="1" w:firstRow="1" w:lastColumn="0" w:lastRow="0" w:noHBand="0" w:noVBand="1" w:val="04A0"/>
      </w:tblPr>
      <w:tblGrid>
        <w:gridCol w:w="5184"/>
        <w:gridCol w:w="5184"/>
      </w:tblGrid>
      <w:tr>
        <w:tc>
          <w:tcPr>
            <w:tcW w:type="dxa" w:w="5184"/>
            <w:shd w:val="clear" w:color="auto" w:fill="E8F0FE"/>
          </w:tcPr>
          <w:p>
            <w:r>
              <w:rPr>
                <w:rFonts w:ascii="Arial" w:hAnsi="Arial"/>
                <w:b/>
                <w:sz w:val="17"/>
              </w:rPr>
              <w:t>Course Code</w:t>
            </w:r>
          </w:p>
        </w:tc>
        <w:tc>
          <w:tcPr>
            <w:tcW w:type="dxa" w:w="5184"/>
          </w:tcPr>
          <w:p>
            <w:r>
              <w:rPr>
                <w:rFonts w:ascii="Arial" w:hAnsi="Arial"/>
                <w:b w:val="0"/>
                <w:sz w:val="17"/>
              </w:rPr>
              <w:t>TGS-2024043856</w:t>
            </w:r>
          </w:p>
        </w:tc>
      </w:tr>
      <w:tr>
        <w:tc>
          <w:tcPr>
            <w:tcW w:type="dxa" w:w="5184"/>
            <w:shd w:val="clear" w:color="auto" w:fill="E8F0FE"/>
          </w:tcPr>
          <w:p>
            <w:r>
              <w:rPr>
                <w:rFonts w:ascii="Arial" w:hAnsi="Arial"/>
                <w:b/>
                <w:sz w:val="17"/>
              </w:rPr>
              <w:t>Training Duration</w:t>
            </w:r>
          </w:p>
        </w:tc>
        <w:tc>
          <w:tcPr>
            <w:tcW w:type="dxa" w:w="5184"/>
          </w:tcPr>
          <w:p>
            <w:r>
              <w:rPr>
                <w:rFonts w:ascii="Arial" w:hAnsi="Arial"/>
                <w:b w:val="0"/>
                <w:sz w:val="17"/>
              </w:rPr>
              <w:t>16 hours across 2 days</w:t>
            </w:r>
          </w:p>
        </w:tc>
      </w:tr>
      <w:tr>
        <w:tc>
          <w:tcPr>
            <w:tcW w:type="dxa" w:w="5184"/>
            <w:shd w:val="clear" w:color="auto" w:fill="E8F0FE"/>
          </w:tcPr>
          <w:p>
            <w:r>
              <w:rPr>
                <w:rFonts w:ascii="Arial" w:hAnsi="Arial"/>
                <w:b/>
                <w:sz w:val="17"/>
              </w:rPr>
              <w:t>Assessment</w:t>
            </w:r>
          </w:p>
        </w:tc>
        <w:tc>
          <w:tcPr>
            <w:tcW w:type="dxa" w:w="5184"/>
          </w:tcPr>
          <w:p>
            <w:r>
              <w:rPr>
                <w:rFonts w:ascii="Arial" w:hAnsi="Arial"/>
                <w:b w:val="0"/>
                <w:sz w:val="17"/>
              </w:rPr>
              <w:t>WA 60 minutes; PP 60 minutes</w:t>
            </w:r>
          </w:p>
        </w:tc>
      </w:tr>
      <w:tr>
        <w:tc>
          <w:tcPr>
            <w:tcW w:type="dxa" w:w="5184"/>
            <w:shd w:val="clear" w:color="auto" w:fill="E8F0FE"/>
          </w:tcPr>
          <w:p>
            <w:r>
              <w:rPr>
                <w:rFonts w:ascii="Arial" w:hAnsi="Arial"/>
                <w:b/>
                <w:sz w:val="17"/>
              </w:rPr>
              <w:t>Trainer</w:t>
            </w:r>
          </w:p>
        </w:tc>
        <w:tc>
          <w:tcPr>
            <w:tcW w:type="dxa" w:w="5184"/>
          </w:tcPr>
          <w:p>
            <w:r>
              <w:rPr>
                <w:rFonts w:ascii="Arial" w:hAnsi="Arial"/>
                <w:b w:val="0"/>
                <w:sz w:val="17"/>
              </w:rPr>
              <w:t>Dr Alfred Ang</w:t>
            </w:r>
          </w:p>
        </w:tc>
      </w:tr>
      <w:tr>
        <w:tc>
          <w:tcPr>
            <w:tcW w:type="dxa" w:w="5184"/>
            <w:shd w:val="clear" w:color="auto" w:fill="E8F0FE"/>
          </w:tcPr>
          <w:p>
            <w:r>
              <w:rPr>
                <w:rFonts w:ascii="Arial" w:hAnsi="Arial"/>
                <w:b/>
                <w:sz w:val="17"/>
              </w:rPr>
              <w:t>Mode</w:t>
            </w:r>
          </w:p>
        </w:tc>
        <w:tc>
          <w:tcPr>
            <w:tcW w:type="dxa" w:w="5184"/>
          </w:tcPr>
          <w:p>
            <w:r>
              <w:rPr>
                <w:rFonts w:ascii="Arial" w:hAnsi="Arial"/>
                <w:b w:val="0"/>
                <w:sz w:val="17"/>
              </w:rPr>
              <w:t>Instructor-led classroom with individual Microsoft 365 activities</w:t>
            </w:r>
          </w:p>
        </w:tc>
      </w:tr>
    </w:tbl>
    <w:p>
      <w:pPr>
        <w:pStyle w:val="Heading1"/>
      </w:pPr>
      <w:r>
        <w:t>Learning Outcomes</w:t>
      </w:r>
    </w:p>
    <w:p>
      <w:pPr>
        <w:pStyle w:val="ListBullet"/>
      </w:pPr>
      <w:r>
        <w:t>LO1: Predict and mitigate challenges in integrating Microsoft 365 Copilot into a workflow.</w:t>
      </w:r>
    </w:p>
    <w:p>
      <w:pPr>
        <w:pStyle w:val="ListBullet"/>
      </w:pPr>
      <w:r>
        <w:t>LO2: Develop a plan for implementing Microsoft 365 Copilot and transitioning from a legacy workflow.</w:t>
      </w:r>
    </w:p>
    <w:p>
      <w:pPr>
        <w:pStyle w:val="ListBullet"/>
      </w:pPr>
      <w:r>
        <w:t>LO3: Evaluate productivity opportunities across Teams, Outlook and Microsoft 365 Copilot Chat.</w:t>
      </w:r>
    </w:p>
    <w:p>
      <w:pPr>
        <w:pStyle w:val="ListBullet"/>
      </w:pPr>
      <w:r>
        <w:t>LO4: Design a staff enablement plan and a governed Copilot agent pipeline.</w:t>
      </w:r>
    </w:p>
    <w:p>
      <w:pPr>
        <w:pStyle w:val="Heading1"/>
      </w:pPr>
      <w:r>
        <w:t>Daily Schedule</w:t>
      </w:r>
    </w:p>
    <w:p>
      <w:pPr>
        <w:pStyle w:val="Heading2"/>
      </w:pPr>
      <w:r>
        <w:t>Day 1: Copilot foundations, Word, PowerPoint and deep Excel analysis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9:00-9:20</w:t>
            </w:r>
          </w:p>
        </w:tc>
        <w:tc>
          <w:tcPr>
            <w:tcW w:type="dxa" w:w="2074"/>
            <w:shd w:val="clear" w:color="auto" w:fill="F3F5F8"/>
          </w:tcPr>
          <w:p>
            <w:r>
              <w:rPr>
                <w:rFonts w:ascii="Arial" w:hAnsi="Arial"/>
                <w:b w:val="0"/>
                <w:sz w:val="17"/>
              </w:rPr>
              <w:t>20 min</w:t>
            </w:r>
          </w:p>
        </w:tc>
        <w:tc>
          <w:tcPr>
            <w:tcW w:type="dxa" w:w="2074"/>
            <w:shd w:val="clear" w:color="auto" w:fill="F3F5F8"/>
          </w:tcPr>
          <w:p>
            <w:r>
              <w:rPr>
                <w:rFonts w:ascii="Arial" w:hAnsi="Arial"/>
                <w:b w:val="0"/>
                <w:sz w:val="17"/>
              </w:rPr>
              <w:t>Welcome, AM digital attendance, introductions and outcomes</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9:20-10:20</w:t>
            </w:r>
          </w:p>
        </w:tc>
        <w:tc>
          <w:tcPr>
            <w:tcW w:type="dxa" w:w="2074"/>
          </w:tcPr>
          <w:p>
            <w:r>
              <w:rPr>
                <w:rFonts w:ascii="Arial" w:hAnsi="Arial"/>
                <w:b w:val="0"/>
                <w:sz w:val="17"/>
              </w:rPr>
              <w:t>60 min</w:t>
            </w:r>
          </w:p>
        </w:tc>
        <w:tc>
          <w:tcPr>
            <w:tcW w:type="dxa" w:w="2074"/>
          </w:tcPr>
          <w:p>
            <w:r>
              <w:rPr>
                <w:rFonts w:ascii="Arial" w:hAnsi="Arial"/>
                <w:b w:val="0"/>
                <w:sz w:val="17"/>
              </w:rPr>
              <w:t>Topic 1: Copilot grounding, prompt framework, responsible use and transition risks</w:t>
            </w:r>
          </w:p>
        </w:tc>
        <w:tc>
          <w:tcPr>
            <w:tcW w:type="dxa" w:w="2074"/>
          </w:tcPr>
          <w:p>
            <w:r>
              <w:rPr>
                <w:rFonts w:ascii="Arial" w:hAnsi="Arial"/>
                <w:b w:val="0"/>
                <w:sz w:val="17"/>
              </w:rPr>
              <w:t>Concept briefing, visual examples and questioning</w:t>
            </w:r>
          </w:p>
        </w:tc>
        <w:tc>
          <w:tcPr>
            <w:tcW w:type="dxa" w:w="2074"/>
          </w:tcPr>
          <w:p>
            <w:r>
              <w:t>Slides 17–43</w:t>
            </w:r>
          </w:p>
        </w:tc>
      </w:tr>
      <w:tr>
        <w:tc>
          <w:tcPr>
            <w:tcW w:type="dxa" w:w="2074"/>
            <w:shd w:val="clear" w:color="auto" w:fill="FFF4E5"/>
          </w:tcPr>
          <w:p>
            <w:r>
              <w:rPr>
                <w:rFonts w:ascii="Arial" w:hAnsi="Arial"/>
                <w:b w:val="0"/>
                <w:sz w:val="17"/>
              </w:rPr>
              <w:t>10:20-10:30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10:30-12:30</w:t>
            </w:r>
          </w:p>
        </w:tc>
        <w:tc>
          <w:tcPr>
            <w:tcW w:type="dxa" w:w="2074"/>
          </w:tcPr>
          <w:p>
            <w:r>
              <w:rPr>
                <w:rFonts w:ascii="Arial" w:hAnsi="Arial"/>
                <w:b w:val="0"/>
                <w:sz w:val="17"/>
              </w:rPr>
              <w:t>120 min</w:t>
            </w:r>
          </w:p>
        </w:tc>
        <w:tc>
          <w:tcPr>
            <w:tcW w:type="dxa" w:w="2074"/>
          </w:tcPr>
          <w:p>
            <w:r>
              <w:rPr>
                <w:rFonts w:ascii="Arial" w:hAnsi="Arial"/>
                <w:b w:val="0"/>
                <w:sz w:val="17"/>
              </w:rPr>
              <w:t>Labs 1-3: safe prompting and Word workflows</w:t>
            </w:r>
          </w:p>
        </w:tc>
        <w:tc>
          <w:tcPr>
            <w:tcW w:type="dxa" w:w="2074"/>
          </w:tcPr>
          <w:p>
            <w:r>
              <w:rPr>
                <w:rFonts w:ascii="Arial" w:hAnsi="Arial"/>
                <w:b w:val="0"/>
                <w:sz w:val="17"/>
              </w:rPr>
              <w:t>Demonstration, individual practice and debrief</w:t>
            </w:r>
          </w:p>
        </w:tc>
        <w:tc>
          <w:tcPr>
            <w:tcW w:type="dxa" w:w="2074"/>
          </w:tcPr>
          <w:p>
            <w:r>
              <w:t>Slides 44–49</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13:30-14:15</w:t>
            </w:r>
          </w:p>
        </w:tc>
        <w:tc>
          <w:tcPr>
            <w:tcW w:type="dxa" w:w="2074"/>
          </w:tcPr>
          <w:p>
            <w:r>
              <w:rPr>
                <w:rFonts w:ascii="Arial" w:hAnsi="Arial"/>
                <w:b w:val="0"/>
                <w:sz w:val="17"/>
              </w:rPr>
              <w:t>45 min</w:t>
            </w:r>
          </w:p>
        </w:tc>
        <w:tc>
          <w:tcPr>
            <w:tcW w:type="dxa" w:w="2074"/>
          </w:tcPr>
          <w:p>
            <w:r>
              <w:rPr>
                <w:rFonts w:ascii="Arial" w:hAnsi="Arial"/>
                <w:b w:val="0"/>
                <w:sz w:val="17"/>
              </w:rPr>
              <w:t>PowerPoint storytelling and native-chart design</w:t>
            </w:r>
          </w:p>
        </w:tc>
        <w:tc>
          <w:tcPr>
            <w:tcW w:type="dxa" w:w="2074"/>
          </w:tcPr>
          <w:p>
            <w:r>
              <w:rPr>
                <w:rFonts w:ascii="Arial" w:hAnsi="Arial"/>
                <w:b w:val="0"/>
                <w:sz w:val="17"/>
              </w:rPr>
              <w:t>Concept briefing, visual examples and questioning</w:t>
            </w:r>
          </w:p>
        </w:tc>
        <w:tc>
          <w:tcPr>
            <w:tcW w:type="dxa" w:w="2074"/>
          </w:tcPr>
          <w:p>
            <w:r>
              <w:t>Slides 34–43</w:t>
            </w:r>
          </w:p>
        </w:tc>
      </w:tr>
      <w:tr>
        <w:tc>
          <w:tcPr>
            <w:tcW w:type="dxa" w:w="2074"/>
          </w:tcPr>
          <w:p>
            <w:r>
              <w:rPr>
                <w:rFonts w:ascii="Arial" w:hAnsi="Arial"/>
                <w:b w:val="0"/>
                <w:sz w:val="17"/>
              </w:rPr>
              <w:t>14:15-15:20</w:t>
            </w:r>
          </w:p>
        </w:tc>
        <w:tc>
          <w:tcPr>
            <w:tcW w:type="dxa" w:w="2074"/>
          </w:tcPr>
          <w:p>
            <w:r>
              <w:rPr>
                <w:rFonts w:ascii="Arial" w:hAnsi="Arial"/>
                <w:b w:val="0"/>
                <w:sz w:val="17"/>
              </w:rPr>
              <w:t>65 min</w:t>
            </w:r>
          </w:p>
        </w:tc>
        <w:tc>
          <w:tcPr>
            <w:tcW w:type="dxa" w:w="2074"/>
          </w:tcPr>
          <w:p>
            <w:r>
              <w:rPr>
                <w:rFonts w:ascii="Arial" w:hAnsi="Arial"/>
                <w:b w:val="0"/>
                <w:sz w:val="17"/>
              </w:rPr>
              <w:t>Labs 4-5: leadership story and native charts</w:t>
            </w:r>
          </w:p>
        </w:tc>
        <w:tc>
          <w:tcPr>
            <w:tcW w:type="dxa" w:w="2074"/>
          </w:tcPr>
          <w:p>
            <w:r>
              <w:rPr>
                <w:rFonts w:ascii="Arial" w:hAnsi="Arial"/>
                <w:b w:val="0"/>
                <w:sz w:val="17"/>
              </w:rPr>
              <w:t>Demonstration, individual practice and debrief</w:t>
            </w:r>
          </w:p>
        </w:tc>
        <w:tc>
          <w:tcPr>
            <w:tcW w:type="dxa" w:w="2074"/>
          </w:tcPr>
          <w:p>
            <w:r>
              <w:t>Slides 50–53</w:t>
            </w:r>
          </w:p>
        </w:tc>
      </w:tr>
      <w:tr>
        <w:tc>
          <w:tcPr>
            <w:tcW w:type="dxa" w:w="2074"/>
            <w:shd w:val="clear" w:color="auto" w:fill="FFF4E5"/>
          </w:tcPr>
          <w:p>
            <w:r>
              <w:rPr>
                <w:rFonts w:ascii="Arial" w:hAnsi="Arial"/>
                <w:b w:val="0"/>
                <w:sz w:val="17"/>
              </w:rPr>
              <w:t>15:20-15:30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15:30-16:15</w:t>
            </w:r>
          </w:p>
        </w:tc>
        <w:tc>
          <w:tcPr>
            <w:tcW w:type="dxa" w:w="2074"/>
          </w:tcPr>
          <w:p>
            <w:r>
              <w:rPr>
                <w:rFonts w:ascii="Arial" w:hAnsi="Arial"/>
                <w:b w:val="0"/>
                <w:sz w:val="17"/>
              </w:rPr>
              <w:t>45 min</w:t>
            </w:r>
          </w:p>
        </w:tc>
        <w:tc>
          <w:tcPr>
            <w:tcW w:type="dxa" w:w="2074"/>
          </w:tcPr>
          <w:p>
            <w:r>
              <w:rPr>
                <w:rFonts w:ascii="Arial" w:hAnsi="Arial"/>
                <w:b w:val="0"/>
                <w:sz w:val="17"/>
              </w:rPr>
              <w:t>Topic 2: analysis-ready data, deep analysis, forecasting and scenarios</w:t>
            </w:r>
          </w:p>
        </w:tc>
        <w:tc>
          <w:tcPr>
            <w:tcW w:type="dxa" w:w="2074"/>
          </w:tcPr>
          <w:p>
            <w:r>
              <w:rPr>
                <w:rFonts w:ascii="Arial" w:hAnsi="Arial"/>
                <w:b w:val="0"/>
                <w:sz w:val="17"/>
              </w:rPr>
              <w:t>Concept briefing, visual examples and questioning</w:t>
            </w:r>
          </w:p>
        </w:tc>
        <w:tc>
          <w:tcPr>
            <w:tcW w:type="dxa" w:w="2074"/>
          </w:tcPr>
          <w:p>
            <w:r>
              <w:t>Slides 55–70</w:t>
            </w:r>
          </w:p>
        </w:tc>
      </w:tr>
      <w:tr>
        <w:tc>
          <w:tcPr>
            <w:tcW w:type="dxa" w:w="2074"/>
          </w:tcPr>
          <w:p>
            <w:r>
              <w:rPr>
                <w:rFonts w:ascii="Arial" w:hAnsi="Arial"/>
                <w:b w:val="0"/>
                <w:sz w:val="17"/>
              </w:rPr>
              <w:t>16:15-17:45</w:t>
            </w:r>
          </w:p>
        </w:tc>
        <w:tc>
          <w:tcPr>
            <w:tcW w:type="dxa" w:w="2074"/>
          </w:tcPr>
          <w:p>
            <w:r>
              <w:rPr>
                <w:rFonts w:ascii="Arial" w:hAnsi="Arial"/>
                <w:b w:val="0"/>
                <w:sz w:val="17"/>
              </w:rPr>
              <w:t>90 min</w:t>
            </w:r>
          </w:p>
        </w:tc>
        <w:tc>
          <w:tcPr>
            <w:tcW w:type="dxa" w:w="2074"/>
          </w:tcPr>
          <w:p>
            <w:r>
              <w:rPr>
                <w:rFonts w:ascii="Arial" w:hAnsi="Arial"/>
                <w:b w:val="0"/>
                <w:sz w:val="17"/>
              </w:rPr>
              <w:t>Labs 6-8: formulas, diagnosis, forecasting and stress testing</w:t>
            </w:r>
          </w:p>
        </w:tc>
        <w:tc>
          <w:tcPr>
            <w:tcW w:type="dxa" w:w="2074"/>
          </w:tcPr>
          <w:p>
            <w:r>
              <w:rPr>
                <w:rFonts w:ascii="Arial" w:hAnsi="Arial"/>
                <w:b w:val="0"/>
                <w:sz w:val="17"/>
              </w:rPr>
              <w:t>Demonstration, individual practice and debrief</w:t>
            </w:r>
          </w:p>
        </w:tc>
        <w:tc>
          <w:tcPr>
            <w:tcW w:type="dxa" w:w="2074"/>
          </w:tcPr>
          <w:p>
            <w:r>
              <w:t>Slides 71–76</w:t>
            </w:r>
          </w:p>
        </w:tc>
      </w:tr>
      <w:tr>
        <w:tc>
          <w:tcPr>
            <w:tcW w:type="dxa" w:w="2074"/>
            <w:shd w:val="clear" w:color="auto" w:fill="F3F5F8"/>
          </w:tcPr>
          <w:p>
            <w:r>
              <w:rPr>
                <w:rFonts w:ascii="Arial" w:hAnsi="Arial"/>
                <w:b w:val="0"/>
                <w:sz w:val="17"/>
              </w:rPr>
              <w:t>17:45-18:00</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reflection, evidence check and PM digital attendance</w:t>
            </w:r>
          </w:p>
        </w:tc>
        <w:tc>
          <w:tcPr>
            <w:tcW w:type="dxa" w:w="2074"/>
            <w:shd w:val="clear" w:color="auto" w:fill="F3F5F8"/>
          </w:tcPr>
          <w:p>
            <w:r>
              <w:rPr>
                <w:rFonts w:ascii="Arial" w:hAnsi="Arial"/>
                <w:b w:val="0"/>
                <w:sz w:val="17"/>
              </w:rPr>
              <w:t>Reflection and Q&amp;A</w:t>
            </w:r>
          </w:p>
        </w:tc>
        <w:tc>
          <w:tcPr>
            <w:tcW w:type="dxa" w:w="2074"/>
            <w:shd w:val="clear" w:color="auto" w:fill="F3F5F8"/>
          </w:tcPr>
          <w:p>
            <w:r>
              <w:rPr>
                <w:rFonts w:ascii="Arial" w:hAnsi="Arial"/>
                <w:b w:val="0"/>
                <w:sz w:val="17"/>
              </w:rPr>
              <w:t>—</w:t>
            </w:r>
          </w:p>
        </w:tc>
      </w:tr>
    </w:tbl>
    <w:p>
      <w:r>
        <w:rPr>
          <w:i/>
          <w:color w:val="555B66"/>
        </w:rPr>
        <w:t>Scheduled learning and assessment time excluding lunch: 480 minutes (8 hours).</w:t>
      </w:r>
    </w:p>
    <w:p>
      <w:pPr>
        <w:pStyle w:val="Heading2"/>
      </w:pPr>
      <w:r>
        <w:t>Day 2: Outlook, Teams, Loop and governed Microsoft 365 agent pipelines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9:00-9:15</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recap and AM digital attendance</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9:15-10:00</w:t>
            </w:r>
          </w:p>
        </w:tc>
        <w:tc>
          <w:tcPr>
            <w:tcW w:type="dxa" w:w="2074"/>
          </w:tcPr>
          <w:p>
            <w:r>
              <w:rPr>
                <w:rFonts w:ascii="Arial" w:hAnsi="Arial"/>
                <w:b w:val="0"/>
                <w:sz w:val="17"/>
              </w:rPr>
              <w:t>45 min</w:t>
            </w:r>
          </w:p>
        </w:tc>
        <w:tc>
          <w:tcPr>
            <w:tcW w:type="dxa" w:w="2074"/>
          </w:tcPr>
          <w:p>
            <w:r>
              <w:rPr>
                <w:rFonts w:ascii="Arial" w:hAnsi="Arial"/>
                <w:b w:val="0"/>
                <w:sz w:val="17"/>
              </w:rPr>
              <w:t>Topic 3: Outlook, Teams, Loop and communication controls</w:t>
            </w:r>
          </w:p>
        </w:tc>
        <w:tc>
          <w:tcPr>
            <w:tcW w:type="dxa" w:w="2074"/>
          </w:tcPr>
          <w:p>
            <w:r>
              <w:rPr>
                <w:rFonts w:ascii="Arial" w:hAnsi="Arial"/>
                <w:b w:val="0"/>
                <w:sz w:val="17"/>
              </w:rPr>
              <w:t>Concept briefing, visual examples and questioning</w:t>
            </w:r>
          </w:p>
        </w:tc>
        <w:tc>
          <w:tcPr>
            <w:tcW w:type="dxa" w:w="2074"/>
          </w:tcPr>
          <w:p>
            <w:r>
              <w:t>Slides 79–94</w:t>
            </w:r>
          </w:p>
        </w:tc>
      </w:tr>
      <w:tr>
        <w:tc>
          <w:tcPr>
            <w:tcW w:type="dxa" w:w="2074"/>
            <w:shd w:val="clear" w:color="auto" w:fill="FFF4E5"/>
          </w:tcPr>
          <w:p>
            <w:r>
              <w:rPr>
                <w:rFonts w:ascii="Arial" w:hAnsi="Arial"/>
                <w:b w:val="0"/>
                <w:sz w:val="17"/>
              </w:rPr>
              <w:t>10:00-10:10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10:10-12:00</w:t>
            </w:r>
          </w:p>
        </w:tc>
        <w:tc>
          <w:tcPr>
            <w:tcW w:type="dxa" w:w="2074"/>
          </w:tcPr>
          <w:p>
            <w:r>
              <w:rPr>
                <w:rFonts w:ascii="Arial" w:hAnsi="Arial"/>
                <w:b w:val="0"/>
                <w:sz w:val="17"/>
              </w:rPr>
              <w:t>110 min</w:t>
            </w:r>
          </w:p>
        </w:tc>
        <w:tc>
          <w:tcPr>
            <w:tcW w:type="dxa" w:w="2074"/>
          </w:tcPr>
          <w:p>
            <w:r>
              <w:rPr>
                <w:rFonts w:ascii="Arial" w:hAnsi="Arial"/>
                <w:b w:val="0"/>
                <w:sz w:val="17"/>
              </w:rPr>
              <w:t>Labs 9-11: inbox, meeting and living implementation plan</w:t>
            </w:r>
          </w:p>
        </w:tc>
        <w:tc>
          <w:tcPr>
            <w:tcW w:type="dxa" w:w="2074"/>
          </w:tcPr>
          <w:p>
            <w:r>
              <w:rPr>
                <w:rFonts w:ascii="Arial" w:hAnsi="Arial"/>
                <w:b w:val="0"/>
                <w:sz w:val="17"/>
              </w:rPr>
              <w:t>Demonstration, individual practice and debrief</w:t>
            </w:r>
          </w:p>
        </w:tc>
        <w:tc>
          <w:tcPr>
            <w:tcW w:type="dxa" w:w="2074"/>
          </w:tcPr>
          <w:p>
            <w:r>
              <w:t>Slides 95–100</w:t>
            </w:r>
          </w:p>
        </w:tc>
      </w:tr>
      <w:tr>
        <w:tc>
          <w:tcPr>
            <w:tcW w:type="dxa" w:w="2074"/>
          </w:tcPr>
          <w:p>
            <w:r>
              <w:rPr>
                <w:rFonts w:ascii="Arial" w:hAnsi="Arial"/>
                <w:b w:val="0"/>
                <w:sz w:val="17"/>
              </w:rPr>
              <w:t>12:00-12:30</w:t>
            </w:r>
          </w:p>
        </w:tc>
        <w:tc>
          <w:tcPr>
            <w:tcW w:type="dxa" w:w="2074"/>
          </w:tcPr>
          <w:p>
            <w:r>
              <w:rPr>
                <w:rFonts w:ascii="Arial" w:hAnsi="Arial"/>
                <w:b w:val="0"/>
                <w:sz w:val="17"/>
              </w:rPr>
              <w:t>30 min</w:t>
            </w:r>
          </w:p>
        </w:tc>
        <w:tc>
          <w:tcPr>
            <w:tcW w:type="dxa" w:w="2074"/>
          </w:tcPr>
          <w:p>
            <w:r>
              <w:rPr>
                <w:rFonts w:ascii="Arial" w:hAnsi="Arial"/>
                <w:b w:val="0"/>
                <w:sz w:val="17"/>
              </w:rPr>
              <w:t>Topic 4: agent roles, knowledge, instructions and pipeline architecture</w:t>
            </w:r>
          </w:p>
        </w:tc>
        <w:tc>
          <w:tcPr>
            <w:tcW w:type="dxa" w:w="2074"/>
          </w:tcPr>
          <w:p>
            <w:r>
              <w:rPr>
                <w:rFonts w:ascii="Arial" w:hAnsi="Arial"/>
                <w:b w:val="0"/>
                <w:sz w:val="17"/>
              </w:rPr>
              <w:t>Concept briefing, visual examples and questioning</w:t>
            </w:r>
          </w:p>
        </w:tc>
        <w:tc>
          <w:tcPr>
            <w:tcW w:type="dxa" w:w="2074"/>
          </w:tcPr>
          <w:p>
            <w:r>
              <w:t>Slides 103–118</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13:30-14:10</w:t>
            </w:r>
          </w:p>
        </w:tc>
        <w:tc>
          <w:tcPr>
            <w:tcW w:type="dxa" w:w="2074"/>
          </w:tcPr>
          <w:p>
            <w:r>
              <w:rPr>
                <w:rFonts w:ascii="Arial" w:hAnsi="Arial"/>
                <w:b w:val="0"/>
                <w:sz w:val="17"/>
              </w:rPr>
              <w:t>40 min</w:t>
            </w:r>
          </w:p>
        </w:tc>
        <w:tc>
          <w:tcPr>
            <w:tcW w:type="dxa" w:w="2074"/>
          </w:tcPr>
          <w:p>
            <w:r>
              <w:rPr>
                <w:rFonts w:ascii="Arial" w:hAnsi="Arial"/>
                <w:b w:val="0"/>
                <w:sz w:val="17"/>
              </w:rPr>
              <w:t>Agent actions, approvals, evaluation, monitoring and staff enablement</w:t>
            </w:r>
          </w:p>
        </w:tc>
        <w:tc>
          <w:tcPr>
            <w:tcW w:type="dxa" w:w="2074"/>
          </w:tcPr>
          <w:p>
            <w:r>
              <w:rPr>
                <w:rFonts w:ascii="Arial" w:hAnsi="Arial"/>
                <w:b w:val="0"/>
                <w:sz w:val="17"/>
              </w:rPr>
              <w:t>Concept briefing, visual examples and questioning</w:t>
            </w:r>
          </w:p>
        </w:tc>
        <w:tc>
          <w:tcPr>
            <w:tcW w:type="dxa" w:w="2074"/>
          </w:tcPr>
          <w:p>
            <w:r>
              <w:t>Slides 103–118; 130–142</w:t>
            </w:r>
          </w:p>
        </w:tc>
      </w:tr>
      <w:tr>
        <w:tc>
          <w:tcPr>
            <w:tcW w:type="dxa" w:w="2074"/>
          </w:tcPr>
          <w:p>
            <w:r>
              <w:rPr>
                <w:rFonts w:ascii="Arial" w:hAnsi="Arial"/>
                <w:b w:val="0"/>
                <w:sz w:val="17"/>
              </w:rPr>
              <w:t>14:10-15:50</w:t>
            </w:r>
          </w:p>
        </w:tc>
        <w:tc>
          <w:tcPr>
            <w:tcW w:type="dxa" w:w="2074"/>
          </w:tcPr>
          <w:p>
            <w:r>
              <w:rPr>
                <w:rFonts w:ascii="Arial" w:hAnsi="Arial"/>
                <w:b w:val="0"/>
                <w:sz w:val="17"/>
              </w:rPr>
              <w:t>100 min</w:t>
            </w:r>
          </w:p>
        </w:tc>
        <w:tc>
          <w:tcPr>
            <w:tcW w:type="dxa" w:w="2074"/>
          </w:tcPr>
          <w:p>
            <w:r>
              <w:rPr>
                <w:rFonts w:ascii="Arial" w:hAnsi="Arial"/>
                <w:b w:val="0"/>
                <w:sz w:val="17"/>
              </w:rPr>
              <w:t>Labs 12-16: agent design, actions and governed end-to-end pipeline</w:t>
            </w:r>
          </w:p>
        </w:tc>
        <w:tc>
          <w:tcPr>
            <w:tcW w:type="dxa" w:w="2074"/>
          </w:tcPr>
          <w:p>
            <w:r>
              <w:rPr>
                <w:rFonts w:ascii="Arial" w:hAnsi="Arial"/>
                <w:b w:val="0"/>
                <w:sz w:val="17"/>
              </w:rPr>
              <w:t>Demonstration, individual practice and debrief</w:t>
            </w:r>
          </w:p>
        </w:tc>
        <w:tc>
          <w:tcPr>
            <w:tcW w:type="dxa" w:w="2074"/>
          </w:tcPr>
          <w:p>
            <w:r>
              <w:t>Slides 119–128</w:t>
            </w:r>
          </w:p>
        </w:tc>
      </w:tr>
      <w:tr>
        <w:tc>
          <w:tcPr>
            <w:tcW w:type="dxa" w:w="2074"/>
            <w:shd w:val="clear" w:color="auto" w:fill="E8F7EE"/>
          </w:tcPr>
          <w:p>
            <w:r>
              <w:rPr>
                <w:rFonts w:ascii="Arial" w:hAnsi="Arial"/>
                <w:b/>
                <w:sz w:val="17"/>
              </w:rPr>
              <w:t>15:50-16:00</w:t>
            </w:r>
          </w:p>
        </w:tc>
        <w:tc>
          <w:tcPr>
            <w:tcW w:type="dxa" w:w="2074"/>
            <w:shd w:val="clear" w:color="auto" w:fill="E8F7EE"/>
          </w:tcPr>
          <w:p>
            <w:r>
              <w:rPr>
                <w:rFonts w:ascii="Arial" w:hAnsi="Arial"/>
                <w:b/>
                <w:sz w:val="17"/>
              </w:rPr>
              <w:t>10 min</w:t>
            </w:r>
          </w:p>
        </w:tc>
        <w:tc>
          <w:tcPr>
            <w:tcW w:type="dxa" w:w="2074"/>
            <w:shd w:val="clear" w:color="auto" w:fill="E8F7EE"/>
          </w:tcPr>
          <w:p>
            <w:r>
              <w:rPr>
                <w:rFonts w:ascii="Arial" w:hAnsi="Arial"/>
                <w:b/>
                <w:sz w:val="17"/>
              </w:rPr>
              <w:t>Course recap, assessment briefing and assessment digital attendance</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16:00-17:00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Written Assessment (WA/SAQ),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17:00-18:00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Practical Performance (PP),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bl>
    <w:p>
      <w:r>
        <w:rPr>
          <w:i/>
          <w:color w:val="555B66"/>
        </w:rPr>
        <w:t>Scheduled learning and assessment time excluding lunch: 480 minutes (8 hours).</w:t>
      </w:r>
    </w:p>
    <w:p>
      <w:pPr>
        <w:pStyle w:val="Heading1"/>
      </w:pPr>
      <w:r>
        <w:t>Topic-by-Topic Delivery Guide</w:t>
      </w:r>
    </w:p>
    <w:p>
      <w:pPr>
        <w:pStyle w:val="Heading2"/>
      </w:pPr>
      <w:r>
        <w:t>Topic 01: Microsoft 365 Copilot Foundations, Word and PowerPoint · Slides 17–54</w:t>
      </w:r>
    </w:p>
    <w:p>
      <w:r>
        <w:t>Grounding · responsible use · prompt design · drafting · presentation storytelling</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3"/>
      </w:pPr>
      <w:r>
        <w:t>Lab 01: Set up the Lumina project and compare prompts · Slides 44–45</w:t>
      </w:r>
    </w:p>
    <w:p>
      <w:r>
        <w:t>Current class output: SW-2026-Source-Register.xlsx. Use the matching v8.2 activity README and LG instructions, including its grounded-data and financial extensions.</w:t>
      </w:r>
    </w:p>
    <w:p>
      <w:pPr>
        <w:pStyle w:val="Heading3"/>
      </w:pPr>
      <w:r>
        <w:t>Lab 02: Draft the cross-department launch brief in Word · Slides 46–47</w:t>
      </w:r>
    </w:p>
    <w:p>
      <w:r>
        <w:t>Current class output: Lumina-Launch-Brief.docx. Use the matching v8.2 activity README and LG instructions, including its grounded-data and financial extensions.</w:t>
      </w:r>
    </w:p>
    <w:p>
      <w:pPr>
        <w:pStyle w:val="Heading3"/>
      </w:pPr>
      <w:r>
        <w:t>Lab 03: Create and review the HR policy in Word · Slides 48–49</w:t>
      </w:r>
    </w:p>
    <w:p>
      <w:r>
        <w:t>Current class output: Lumina-HR-Policy.docx. Use the matching v8.2 activity README and LG instructions, including its grounded-data and financial extensions.</w:t>
      </w:r>
    </w:p>
    <w:p>
      <w:pPr>
        <w:pStyle w:val="Heading3"/>
      </w:pPr>
      <w:r>
        <w:t>Lab 04: Generate the leadership presentation from Word · Slides 50–51</w:t>
      </w:r>
    </w:p>
    <w:p>
      <w:r>
        <w:t>Current class output: Lumina-Leadership-Draft.pptx. Use the matching v8.2 activity README and LG instructions, including its grounded-data and financial extensions.</w:t>
      </w:r>
    </w:p>
    <w:p>
      <w:pPr>
        <w:pStyle w:val="Heading3"/>
      </w:pPr>
      <w:r>
        <w:t>Lab 05: Add Excel visualizations to Word and PowerPoint · Slides 52–53</w:t>
      </w:r>
    </w:p>
    <w:p>
      <w:r>
        <w:t>Current class output: Lumina-Visual-Evidence.pptx. Use the matching v8.2 activity README and LG instructions, including its grounded-data and financial extensions.</w:t>
      </w:r>
    </w:p>
    <w:p>
      <w:pPr>
        <w:pStyle w:val="Heading2"/>
      </w:pPr>
      <w:r>
        <w:t>Topic 02: Copilot for Excel: From Questions to Deep Analysis · Slides 55–77</w:t>
      </w:r>
    </w:p>
    <w:p>
      <w:r>
        <w:t>Tables · formulas · diagnostics · scenario analysis · forecasting · Analyst agent</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3"/>
      </w:pPr>
      <w:r>
        <w:t>Lab 06: Build the sales and financial formulas in Excel · Slides 71–72</w:t>
      </w:r>
    </w:p>
    <w:p>
      <w:r>
        <w:t>Current class output: Lumina-Analysis.xlsx. Use the matching v8.2 activity README and LG instructions, including its grounded-data and financial extensions.</w:t>
      </w:r>
    </w:p>
    <w:p>
      <w:pPr>
        <w:pStyle w:val="Heading3"/>
      </w:pPr>
      <w:r>
        <w:t>Lab 07: Analyze sales, revenue and financial performance · Slides 73–74</w:t>
      </w:r>
    </w:p>
    <w:p>
      <w:r>
        <w:t>Current class output: Lumina-Management-Report.docx. Use the matching v8.2 activity README and LG instructions, including its grounded-data and financial extensions.</w:t>
      </w:r>
    </w:p>
    <w:p>
      <w:pPr>
        <w:pStyle w:val="Heading3"/>
      </w:pPr>
      <w:r>
        <w:t>Lab 08: Test launch scenarios and update the decision pack · Slides 75–76</w:t>
      </w:r>
    </w:p>
    <w:p>
      <w:r>
        <w:t>Current class output: Lumina-Scenario-Analysis.xlsx. Use the matching v8.2 activity README and LG instructions, including its grounded-data and financial extensions.</w:t>
      </w:r>
    </w:p>
    <w:p>
      <w:pPr>
        <w:pStyle w:val="Heading2"/>
      </w:pPr>
      <w:r>
        <w:t>Topic 03: Copilot for Outlook, Teams and Loop · Slides 79–101</w:t>
      </w:r>
    </w:p>
    <w:p>
      <w:r>
        <w:t>Inbox triage · thread summaries · meeting intelligence · shared plans · human-send controls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3"/>
      </w:pPr>
      <w:r>
        <w:t>Lab 09: Draft the launch review email in Outlook · Slides 95–96</w:t>
      </w:r>
    </w:p>
    <w:p>
      <w:r>
        <w:t>Current class output: Lumina-Outlook-Draft.txt. Use the matching v8.2 activity README and LG instructions, including its grounded-data and financial extensions.</w:t>
      </w:r>
    </w:p>
    <w:p>
      <w:pPr>
        <w:pStyle w:val="Heading3"/>
      </w:pPr>
      <w:r>
        <w:t>Lab 10: Run the launch review and post the Teams update · Slides 97–98</w:t>
      </w:r>
    </w:p>
    <w:p>
      <w:r>
        <w:t>Current class output: Lumina-Teams-Update.md. Use the matching v8.2 activity README and LG instructions, including its grounded-data and financial extensions.</w:t>
      </w:r>
    </w:p>
    <w:p>
      <w:pPr>
        <w:pStyle w:val="Heading3"/>
      </w:pPr>
      <w:r>
        <w:t>Lab 11: Monitor launch readiness in Loop · Slides 99–100</w:t>
      </w:r>
    </w:p>
    <w:p>
      <w:r>
        <w:t>Current class output: Lumina-Loop-Evidence.xlsx. Use the matching v8.2 activity README and LG instructions, including its grounded-data and financial extensions.</w:t>
      </w:r>
    </w:p>
    <w:p>
      <w:pPr>
        <w:pStyle w:val="Heading2"/>
      </w:pPr>
      <w:r>
        <w:t>Topic 04: Microsoft 365 Copilot Agents and Governed Pipelines · Slides 103–129</w:t>
      </w:r>
    </w:p>
    <w:p>
      <w:r>
        <w:t>Agent types · instructions · knowledge · actions · approvals · monitoring · staff enablement</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3"/>
      </w:pPr>
      <w:r>
        <w:t>Lab 12: Create a source-grounded HR and policy agent · Slides 119–120</w:t>
      </w:r>
    </w:p>
    <w:p>
      <w:r>
        <w:t>Current class output: Lumina-HR-Agent-Test-Register.xlsx. Use the matching v8.2 activity README and LG instructions, including its grounded-data and financial extensions.</w:t>
      </w:r>
    </w:p>
    <w:p>
      <w:pPr>
        <w:pStyle w:val="Heading3"/>
      </w:pPr>
      <w:r>
        <w:t>Lab 13: Route a launch service issue with an agent · Slides 121–122</w:t>
      </w:r>
    </w:p>
    <w:p>
      <w:r>
        <w:t>Current class output: Lumina-Routing-Test-Register.xlsx. Use the matching v8.2 activity README and LG instructions, including its grounded-data and financial extensions.</w:t>
      </w:r>
    </w:p>
    <w:p>
      <w:pPr>
        <w:pStyle w:val="Heading3"/>
      </w:pPr>
      <w:r>
        <w:t>Lab 14: Connect the recommendation to a reviewed action · Slides 123–124</w:t>
      </w:r>
    </w:p>
    <w:p>
      <w:r>
        <w:t>Current class output: Lumina-Action-Run-Register.xlsx. Use the matching v8.2 activity README and LG instructions, including its grounded-data and financial extensions.</w:t>
      </w:r>
    </w:p>
    <w:p>
      <w:pPr>
        <w:pStyle w:val="Heading3"/>
      </w:pPr>
      <w:r>
        <w:t>Lab 15: Integrate the analysis into a decision presentation · Slides 125–126</w:t>
      </w:r>
    </w:p>
    <w:p>
      <w:r>
        <w:t>Current class output: Lumina-Decision-Deck.pptx. Use the matching v8.2 activity README and LG instructions, including its grounded-data and financial extensions.</w:t>
      </w:r>
    </w:p>
    <w:p>
      <w:pPr>
        <w:pStyle w:val="Heading3"/>
      </w:pPr>
      <w:r>
        <w:t>Lab 16: Deliver and monitor the complete Lumina workflow · Slides 127–128</w:t>
      </w:r>
    </w:p>
    <w:p>
      <w:r>
        <w:t>Current class output: Lumina-Release-Evidence.xlsx. Use the matching v8.2 activity README and LG instructions, including its grounded-data and financial extensions.</w:t>
      </w:r>
    </w:p>
    <w:p>
      <w:pPr>
        <w:pStyle w:val="Heading1"/>
      </w:pPr>
      <w:r>
        <w:t>Resources Required</w:t>
      </w:r>
    </w:p>
    <w:p>
      <w:pPr>
        <w:pStyle w:val="ListBullet"/>
      </w:pPr>
      <w:r>
        <w:t>Microsoft 365 training tenant with the Copilot experiences enabled for the class route.</w:t>
      </w:r>
    </w:p>
    <w:p>
      <w:pPr>
        <w:pStyle w:val="ListBullet"/>
      </w:pPr>
      <w:r>
        <w:t>Microsoft Word, PowerPoint, Excel, Outlook, Teams and Loop.</w:t>
      </w:r>
    </w:p>
    <w:p>
      <w:pPr>
        <w:pStyle w:val="ListBullet"/>
      </w:pPr>
      <w:r>
        <w:t>Microsoft 365 Copilot agent builder or Copilot Studio and Power Automate where available.</w:t>
      </w:r>
    </w:p>
    <w:p>
      <w:pPr>
        <w:pStyle w:val="ListBullet"/>
      </w:pPr>
      <w:r>
        <w:t>Learner Guide and sixteen self-contained activities folders.</w:t>
      </w:r>
    </w:p>
    <w:p>
      <w:pPr>
        <w:pStyle w:val="ListBullet"/>
      </w:pPr>
      <w:r>
        <w:t>Every activity's starter Excel workbook and any activity-specific Word or PowerPoint artifact.</w:t>
      </w:r>
    </w:p>
    <w:p>
      <w:pPr>
        <w:pStyle w:val="ListBullet"/>
      </w:pPr>
      <w:r>
        <w:t>LMS/TMS access for courseware, attendance and assessment submission.</w:t>
      </w:r>
    </w:p>
    <w:p>
      <w:pPr>
        <w:pStyle w:val="Heading1"/>
      </w:pPr>
      <w:r>
        <w:t>Assessment</w:t>
      </w:r>
    </w:p>
    <w:p>
      <w:pPr>
        <w:pStyle w:val="ListBullet"/>
      </w:pPr>
      <w:r>
        <w:t>Written Assessment (WA/SAQ) — 4 open-ended questions, 60 minutes, open book.</w:t>
      </w:r>
    </w:p>
    <w:p>
      <w:pPr>
        <w:pStyle w:val="ListBullet"/>
      </w:pPr>
      <w:r>
        <w:t>Practical Performance (PP) — 4 connected Microsoft 365 tasks, 60 minutes, open book.</w:t>
      </w:r>
    </w:p>
    <w:p>
      <w:pPr>
        <w:pStyle w:val="ListBullet"/>
      </w:pPr>
      <w:r>
        <w:t>Assessment starts at 4: 00 PM on Day 2 and ends at 6: 00 PM.</w:t>
      </w:r>
    </w:p>
    <w:p>
      <w:pPr>
        <w:pStyle w:val="ListBullet"/>
      </w:pPr>
      <w:r>
        <w:t>Assessment is individual and open book. Learners submit the completed papers and required evidence through the LMS.</w:t>
      </w:r>
    </w:p>
    <w:p>
      <w:pPr>
        <w:pStyle w:val="ListBullet"/>
      </w:pPr>
      <w:r>
        <w:t>A minimum of 75% attendance and a Competent assessment outcome are required.</w:t>
      </w:r>
    </w:p>
    <w:p>
      <w:pPr>
        <w:pStyle w:val="ListBullet"/>
      </w:pPr>
      <w:r>
        <w:t>https://lms-tms.tertiaryinfotech.com/</w:t>
      </w:r>
    </w:p>
    <w:p>
      <w:r>
        <w:br w:type="page"/>
      </w:r>
    </w:p>
    <w:p>
      <w:pPr>
        <w:pStyle w:val="Heading1"/>
      </w:pPr>
      <w:r>
        <w:t>SharePoint agent extension delivery notes</w:t>
      </w:r>
    </w:p>
    <w:p>
      <w:r>
        <w:t>Retain the existing two-day timetable and assessment durations. Integrate these demonstrations and practices into the existing Topic 4 agent block; do not add assessment time or replace the registered instruments.</w:t>
      </w:r>
    </w:p>
    <w:tbl>
      <w:tblPr>
        <w:tblStyle w:val="TableGrid"/>
        <w:tblW w:type="auto" w:w="0"/>
        <w:tblLook w:firstColumn="1" w:firstRow="1" w:lastColumn="0" w:lastRow="0" w:noHBand="0" w:noVBand="1" w:val="04A0"/>
      </w:tblPr>
      <w:tblGrid>
        <w:gridCol w:w="3456"/>
        <w:gridCol w:w="3456"/>
        <w:gridCol w:w="3456"/>
      </w:tblGrid>
      <w:tr>
        <w:tc>
          <w:tcPr>
            <w:tcW w:type="dxa" w:w="3456"/>
          </w:tcPr>
          <w:p>
            <w:r>
              <w:t>Existing lab</w:t>
            </w:r>
          </w:p>
        </w:tc>
        <w:tc>
          <w:tcPr>
            <w:tcW w:type="dxa" w:w="3456"/>
          </w:tcPr>
          <w:p>
            <w:r>
              <w:t>Enhancement</w:t>
            </w:r>
          </w:p>
        </w:tc>
        <w:tc>
          <w:tcPr>
            <w:tcW w:type="dxa" w:w="3456"/>
          </w:tcPr>
          <w:p>
            <w:r>
              <w:t>Evidence</w:t>
            </w:r>
          </w:p>
        </w:tc>
      </w:tr>
      <w:tr>
        <w:tc>
          <w:tcPr>
            <w:tcW w:type="dxa" w:w="3456"/>
          </w:tcPr>
          <w:p>
            <w:r>
              <w:t>12</w:t>
            </w:r>
          </w:p>
        </w:tc>
        <w:tc>
          <w:tcPr>
            <w:tcW w:type="dxa" w:w="3456"/>
          </w:tcPr>
          <w:p>
            <w:r>
              <w:t>Policy agent with selected expense source</w:t>
            </w:r>
          </w:p>
        </w:tc>
        <w:tc>
          <w:tcPr>
            <w:tcW w:type="dxa" w:w="3456"/>
          </w:tcPr>
          <w:p>
            <w:r>
              <w:t>Cited policy response and unknown-answer test</w:t>
            </w:r>
          </w:p>
        </w:tc>
      </w:tr>
      <w:tr>
        <w:tc>
          <w:tcPr>
            <w:tcW w:type="dxa" w:w="3456"/>
          </w:tcPr>
          <w:p>
            <w:r>
              <w:t>13</w:t>
            </w:r>
          </w:p>
        </w:tc>
        <w:tc>
          <w:tcPr>
            <w:tcW w:type="dxa" w:w="3456"/>
          </w:tcPr>
          <w:p>
            <w:r>
              <w:t>Service-routing recommendation</w:t>
            </w:r>
          </w:p>
        </w:tc>
        <w:tc>
          <w:tcPr>
            <w:tcW w:type="dxa" w:w="3456"/>
          </w:tcPr>
          <w:p>
            <w:r>
              <w:t>Queue, priority and cited rule in Excel</w:t>
            </w:r>
          </w:p>
        </w:tc>
      </w:tr>
      <w:tr>
        <w:tc>
          <w:tcPr>
            <w:tcW w:type="dxa" w:w="3456"/>
          </w:tcPr>
          <w:p>
            <w:r>
              <w:t>14</w:t>
            </w:r>
          </w:p>
        </w:tc>
        <w:tc>
          <w:tcPr>
            <w:tcW w:type="dxa" w:w="3456"/>
          </w:tcPr>
          <w:p>
            <w:r>
              <w:t>Knowledge versus configured actions</w:t>
            </w:r>
          </w:p>
        </w:tc>
        <w:tc>
          <w:tcPr>
            <w:tcW w:type="dxa" w:w="3456"/>
          </w:tcPr>
          <w:p>
            <w:r>
              <w:t>Human-review state and real action result</w:t>
            </w:r>
          </w:p>
        </w:tc>
      </w:tr>
      <w:tr>
        <w:tc>
          <w:tcPr>
            <w:tcW w:type="dxa" w:w="3456"/>
          </w:tcPr>
          <w:p>
            <w:r>
              <w:t>15</w:t>
            </w:r>
          </w:p>
        </w:tc>
        <w:tc>
          <w:tcPr>
            <w:tcW w:type="dxa" w:w="3456"/>
          </w:tcPr>
          <w:p>
            <w:r>
              <w:t>Campaign drafting from SharePoint</w:t>
            </w:r>
          </w:p>
        </w:tc>
        <w:tc>
          <w:tcPr>
            <w:tcW w:type="dxa" w:w="3456"/>
          </w:tcPr>
          <w:p>
            <w:r>
              <w:t>Verified budget, target and date in deck</w:t>
            </w:r>
          </w:p>
        </w:tc>
      </w:tr>
      <w:tr>
        <w:tc>
          <w:tcPr>
            <w:tcW w:type="dxa" w:w="3456"/>
          </w:tcPr>
          <w:p>
            <w:r>
              <w:t>16</w:t>
            </w:r>
          </w:p>
        </w:tc>
        <w:tc>
          <w:tcPr>
            <w:tcW w:type="dxa" w:w="3456"/>
          </w:tcPr>
          <w:p>
            <w:r>
              <w:t>Source maintenance and account access</w:t>
            </w:r>
          </w:p>
        </w:tc>
        <w:tc>
          <w:tcPr>
            <w:tcW w:type="dxa" w:w="3456"/>
          </w:tcPr>
          <w:p>
            <w:r>
              <w:t>Access tests, source version and review log</w:t>
            </w:r>
          </w:p>
        </w:tc>
      </w:tr>
    </w:tbl>
    <w:p>
      <w:r>
        <w:t>Pre-class: verify the private course site, three source files, agent readiness and access with the assigned accounts. Use the detailed Learner Guide extension and original Excel registers. Retain failed tests rather than claiming a pass.</w:t>
      </w:r>
    </w:p>
    <w:p>
      <w:r>
        <w:t>SharePoint extension slides:130–142. Connected examples and visuals:23–33.</w:t>
      </w:r>
    </w:p>
    <w:p>
      <w:r>
        <w:br w:type="page"/>
      </w:r>
    </w:p>
    <w:p>
      <w:pPr>
        <w:pStyle w:val="Heading1"/>
      </w:pPr>
      <w:r>
        <w:t>Lumina Living connected workflow</w:t>
      </w:r>
    </w:p>
    <w:p>
      <w:r>
        <w:t>The v8.2 lab guides below govern the current SW-2026 source files and handoffs. Retain the earlier skills explanations and SharePoint setup guidance. Use the named current scenario files and your reviewed prior-lab outputs for the connected company exercise.</w:t>
      </w:r>
    </w:p>
    <w:p>
      <w:r>
        <w:t>Keep the existing two-day schedule and registered assessment instruments. Demonstrate the three prompt examples immediately after the framework slide. Reuse one personal SW-2026 folder across all 16 labs; do not add delivery time.</w:t>
      </w:r>
    </w:p>
    <w:p>
      <w:r>
        <w:t>Labs 1–5: project register, Word launch brief and HR policy, draft presentation, chart transfer using supplied verified data.</w:t>
      </w:r>
    </w:p>
    <w:p>
      <w:r>
        <w:t>Labs 6–8: reproduce the shared analysis, verify results, and label scenario assumptions.</w:t>
      </w:r>
    </w:p>
    <w:p>
      <w:r>
        <w:t>Labs 9–11: Outlook draft, reviewed Teams handover and one shared Loop action register.</w:t>
      </w:r>
    </w:p>
    <w:p>
      <w:r>
        <w:t>Labs 12–16: source-grounded agents, controlled test actions, final decision deck and monitored release evidence.</w:t>
      </w:r>
    </w:p>
    <w:p>
      <w:r>
        <w:t>Worked prompt examples:23–25; handoff26; added company, financial and research visuals27–33. Labs use the same Lumina source pack.</w:t>
      </w:r>
    </w:p>
    <w:p>
      <w:r>
        <w:t>Expected checks: 96 records; revenue SGD 933,290; cost SGD 521,097.41; margin SGD 412,192.59; Events margin SGD 121,247.22; trained 47/56; nine training gaps.</w:t>
      </w:r>
    </w:p>
    <w:p>
      <w:r>
        <w:br w:type="page"/>
      </w:r>
    </w:p>
    <w:p>
      <w:pPr>
        <w:pStyle w:val="Heading1"/>
      </w:pPr>
      <w:r>
        <w:t>Assessment and classroom alignment</w:t>
      </w:r>
    </w:p>
    <w:p>
      <w:r>
        <w:t>WA: four open-ended questions K1–K4, 60 minutes. PP: four tasks A1–A4/LO1–LO4, 60 minutes. Use the v8.2 papers and the learner’s own class portfolio for independent revisions. No new unpractised tool is assessed.</w:t>
      </w:r>
    </w:p>
    <w:p>
      <w:r>
        <w:t>PP1: Labs 1–5/15, risk controls and professional deck extract.</w:t>
      </w:r>
    </w:p>
    <w:p>
      <w:r>
        <w:t>PP2: Labs 6–8/11, financial formula/chart checks and controlled transition plan.</w:t>
      </w:r>
    </w:p>
    <w:p>
      <w:r>
        <w:t>PP3: Labs 9–11, Outlook and Teams drafts and Loop monitoring.</w:t>
      </w:r>
    </w:p>
    <w:p>
      <w:r>
        <w:t>PP4: Labs 11–16, staff enablement, scoped SharePoint agent, six classroom tests and two demonstrations.</w:t>
      </w:r>
    </w:p>
    <w:p>
      <w:r>
        <w:t>Grounded research is integrated into Labs 2/8/12/15. Financial analysis extends Labs 6–8; professional Copilot presentation is Lab 15. Retain the existing total training and assessment duration.</w:t>
      </w:r>
    </w:p>
    <w:p>
      <w:hyperlink r:id="rId11">
        <w:r>
          <w:rPr>
            <w:color w:val="1F6FEB"/>
          </w:rPr>
          <w:t>Live Lumina SharePoint site (tenant sign-in)</w:t>
        </w:r>
      </w:hyperlink>
    </w:p>
    <w:sectPr w:rsidR="00FC693F" w:rsidRPr="0006063C" w:rsidSect="00034616">
      <w:footerReference w:type="default" r:id="rId10"/>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yperlink" Target="https://tertiaryinfotech.sharepoint.com/sites/TGS-2024043856-LuminaCo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