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EB"/>
          <w:sz w:val="24"/>
        </w:rPr>
        <w:t>LUMINA LIVING PTE LTD</w:t>
      </w:r>
    </w:p>
    <w:p>
      <w:pPr>
        <w:jc w:val="center"/>
      </w:pPr>
      <w:r>
        <w:rPr>
          <w:rFonts w:ascii="Arial" w:hAnsi="Arial"/>
          <w:b/>
          <w:sz w:val="48"/>
        </w:rPr>
        <w:t>Campaign Escalation Email Thread</w:t>
      </w:r>
    </w:p>
    <w:p>
      <w:pPr>
        <w:jc w:val="center"/>
      </w:pPr>
      <w:r>
        <w:t>Synthetic training artifact · Sustainable Workspace campaign</w:t>
      </w:r>
    </w:p>
    <w:p>
      <w:r>
        <w:br w:type="page"/>
      </w:r>
    </w:p>
    <w:p>
      <w:pPr>
        <w:pStyle w:val="Heading1"/>
      </w:pPr>
      <w:r>
        <w:t>Message 1 — Partner</w:t>
      </w:r>
    </w:p>
    <w:p>
      <w:r>
        <w:t>Launch assets appear inconsistent with the latest approved brief. Please confirm which version should be used.</w:t>
      </w:r>
    </w:p>
    <w:p>
      <w:pPr>
        <w:pStyle w:val="Heading1"/>
      </w:pPr>
      <w:r>
        <w:t>Message 2 — Campaign Lead</w:t>
      </w:r>
    </w:p>
    <w:p>
      <w:r>
        <w:t>Pause external release. We need owner confirmation and a corrected attachment.</w:t>
      </w:r>
    </w:p>
    <w:p>
      <w:pPr>
        <w:pStyle w:val="Heading1"/>
      </w:pPr>
      <w:r>
        <w:t>Message 3 — Operations</w:t>
      </w:r>
    </w:p>
    <w:p>
      <w:r>
        <w:t>The launch date remains provisional until service capacity is confirmed.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