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24"/>
        </w:rPr>
        <w:t>LUMINA LIVING PTE LTD</w:t>
      </w:r>
    </w:p>
    <w:p>
      <w:pPr>
        <w:jc w:val="center"/>
      </w:pPr>
      <w:r>
        <w:rPr>
          <w:rFonts w:ascii="Arial" w:hAnsi="Arial"/>
          <w:b/>
          <w:sz w:val="48"/>
        </w:rPr>
        <w:t>Campaign Readiness Meeting Notes</w:t>
      </w:r>
    </w:p>
    <w:p>
      <w:pPr>
        <w:jc w:val="center"/>
      </w:pPr>
      <w:r>
        <w:t>Synthetic training artifact · Sustainable Workspace campaign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Resolve launch blockers and assign owners.</w:t>
      </w:r>
    </w:p>
    <w:p>
      <w:pPr>
        <w:pStyle w:val="Heading1"/>
      </w:pPr>
      <w:r>
        <w:t>Discussion Notes</w:t>
      </w:r>
    </w:p>
    <w:p>
      <w:r>
        <w:t>Capacity, asset version and partner communication remain open.</w:t>
      </w:r>
    </w:p>
    <w:p>
      <w:pPr>
        <w:pStyle w:val="Heading1"/>
      </w:pPr>
      <w:r>
        <w:t>Decisions and Actions</w:t>
      </w:r>
    </w:p>
    <w:p>
      <w:r>
        <w:t>Learner reviews and structures these with Copilot.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