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24"/>
        </w:rPr>
        <w:t>LUMINA LIVING PTE LTD</w:t>
      </w:r>
    </w:p>
    <w:p>
      <w:pPr>
        <w:jc w:val="center"/>
      </w:pPr>
      <w:r>
        <w:rPr>
          <w:rFonts w:ascii="Arial" w:hAnsi="Arial"/>
          <w:b/>
          <w:sz w:val="48"/>
        </w:rPr>
        <w:t>Microsoft 365 Copilot Rollout Brief</w:t>
      </w:r>
    </w:p>
    <w:p>
      <w:pPr>
        <w:jc w:val="center"/>
      </w:pPr>
      <w:r>
        <w:t>Synthetic training artifact · Sustainable Workspace campaign</w:t>
      </w:r>
    </w:p>
    <w:p>
      <w:r>
        <w:br w:type="page"/>
      </w:r>
    </w:p>
    <w:p>
      <w:pPr>
        <w:pStyle w:val="Heading1"/>
      </w:pPr>
      <w:r>
        <w:t>Objective</w:t>
      </w:r>
    </w:p>
    <w:p>
      <w:r>
        <w:t>Pilot role-based workflows with evidence and approval controls.</w:t>
      </w:r>
    </w:p>
    <w:p>
      <w:pPr>
        <w:pStyle w:val="Heading1"/>
      </w:pPr>
      <w:r>
        <w:t>Workstreams</w:t>
      </w:r>
    </w:p>
    <w:p>
      <w:r>
        <w:t>People, Process, Data, Technology and Governance.</w:t>
      </w:r>
    </w:p>
    <w:p>
      <w:pPr>
        <w:pStyle w:val="Heading1"/>
      </w:pPr>
      <w:r>
        <w:t>Training</w:t>
      </w:r>
    </w:p>
    <w:p>
      <w:r>
        <w:t>Design role-based practice and adoption measures.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