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24"/>
        </w:rPr>
        <w:t>LUMINA LIVING PTE LTD</w:t>
      </w:r>
    </w:p>
    <w:p>
      <w:pPr>
        <w:jc w:val="center"/>
      </w:pPr>
      <w:r>
        <w:rPr>
          <w:rFonts w:ascii="Arial" w:hAnsi="Arial"/>
          <w:b/>
          <w:sz w:val="48"/>
        </w:rPr>
        <w:t>Campaign Intake and Review Process</w:t>
      </w:r>
    </w:p>
    <w:p>
      <w:pPr>
        <w:jc w:val="center"/>
      </w:pPr>
      <w:r>
        <w:t>Synthetic training artifact · Sustainable Workspace campaign</w:t>
      </w:r>
    </w:p>
    <w:p>
      <w:r>
        <w:br w:type="page"/>
      </w:r>
    </w:p>
    <w:p>
      <w:pPr>
        <w:pStyle w:val="Heading1"/>
      </w:pPr>
      <w:r>
        <w:t>Required Intake</w:t>
      </w:r>
    </w:p>
    <w:p>
      <w:r>
        <w:t>Campaign Name, Sponsor, Objective, Audience, Budget Band, Launch Date and Data Classification.</w:t>
      </w:r>
    </w:p>
    <w:p>
      <w:pPr>
        <w:pStyle w:val="Heading1"/>
      </w:pPr>
      <w:r>
        <w:t>Routing</w:t>
      </w:r>
    </w:p>
    <w:p>
      <w:r>
        <w:t>Standard, Fast-Track or Specialist Review according to risk and completeness.</w:t>
      </w:r>
    </w:p>
    <w:p>
      <w:pPr>
        <w:pStyle w:val="Heading1"/>
      </w:pPr>
      <w:r>
        <w:t>Prohibited Agent Actions</w:t>
      </w:r>
    </w:p>
    <w:p>
      <w:r>
        <w:t>No budget approval, external email send or official status approval.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