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Campaign Pipeline Governance Policy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Stages</w:t>
      </w:r>
    </w:p>
    <w:p>
      <w:r>
        <w:t>Intake, Validation, Routing, Analysis, Deck, Approval and Delivery Draft.</w:t>
      </w:r>
    </w:p>
    <w:p>
      <w:pPr>
        <w:pStyle w:val="Heading1"/>
      </w:pPr>
      <w:r>
        <w:t>Controls</w:t>
      </w:r>
    </w:p>
    <w:p>
      <w:r>
        <w:t>Least privilege, evidence, approval, exception and audit trail.</w:t>
      </w:r>
    </w:p>
    <w:p>
      <w:pPr>
        <w:pStyle w:val="Heading1"/>
      </w:pPr>
      <w:r>
        <w:t>Delivery</w:t>
      </w:r>
    </w:p>
    <w:p>
      <w:r>
        <w:t>Outlook and Teams outputs remain drafts until a named reviewer approves them.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