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LESSON PLAN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Enhance Work Productivity with Microsoft 365 Copilot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Course Code: TGS-2024043856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9.1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52"/>
        <w:gridCol w:w="1656"/>
        <w:gridCol w:w="4896"/>
        <w:gridCol w:w="1656"/>
      </w:tblGrid>
      <w:tr>
        <w:tc>
          <w:tcPr>
            <w:tcW w:type="dxa" w:w="1152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1656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4896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1656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9.1</w:t>
            </w:r>
          </w:p>
        </w:tc>
        <w:tc>
          <w:tcPr>
            <w:tcW w:type="dxa" w:w="1656"/>
          </w:tcPr>
          <w:p>
            <w:r/>
            <w:r>
              <w:rPr>
                <w:sz w:val="19"/>
              </w:rPr>
              <w:t>18 October 2026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Returned the use case to HR: Lumina Living HR Shared Services cases replace the Northstar work orders across all 14 labs, slides, Learner Guide, Lesson Plan and assessments. Topic 4 labs now build a grounded HR Policy Agent with HR handbook knowledge and the hr-policy-qa Skill. Prompts page shows each step before its prompt. Course closes with the 5 Principles of AI Security.</w:t>
            </w:r>
          </w:p>
        </w:tc>
        <w:tc>
          <w:tcPr>
            <w:tcW w:type="dxa" w:w="1656"/>
          </w:tcPr>
          <w:p>
            <w:r/>
            <w:r>
              <w:rPr>
                <w:sz w:val="19"/>
              </w:rPr>
              <w:t>Tertiary Infotech Academy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9.0</w:t>
            </w:r>
          </w:p>
        </w:tc>
        <w:tc>
          <w:tcPr>
            <w:tcW w:type="dxa" w:w="1656"/>
          </w:tcPr>
          <w:p>
            <w:r/>
            <w:r>
              <w:rPr>
                <w:sz w:val="19"/>
              </w:rPr>
              <w:t>14 October 2026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Rebuilt around the verified Northstar scenario; adopted C27 instructional sequence and charcoal/cream design; merged dashboard and presentation content; added four Microsoft 365 Agent Builder labs; aligned WA/PP evidence to one screenshot per PP task.</w:t>
            </w:r>
          </w:p>
        </w:tc>
        <w:tc>
          <w:tcPr>
            <w:tcW w:type="dxa" w:w="1656"/>
          </w:tcPr>
          <w:p>
            <w:r/>
            <w:r>
              <w:rPr>
                <w:sz w:val="19"/>
              </w:rPr>
              <w:t>Tertiary Infotech Academy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8.2</w:t>
            </w:r>
          </w:p>
        </w:tc>
        <w:tc>
          <w:tcPr>
            <w:tcW w:type="dxa" w:w="1656"/>
          </w:tcPr>
          <w:p>
            <w:r/>
            <w:r>
              <w:rPr>
                <w:sz w:val="19"/>
              </w:rPr>
              <w:t>7 September 2026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Aligned Lumina Copilot labs, assessment evidence and visual workflow.</w:t>
            </w:r>
          </w:p>
        </w:tc>
        <w:tc>
          <w:tcPr>
            <w:tcW w:type="dxa" w:w="1656"/>
          </w:tcPr>
          <w:p>
            <w:r/>
            <w:r>
              <w:rPr>
                <w:sz w:val="19"/>
              </w:rPr>
              <w:t>Tertiary Infotech Academy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8.1</w:t>
            </w:r>
          </w:p>
        </w:tc>
        <w:tc>
          <w:tcPr>
            <w:tcW w:type="dxa" w:w="1656"/>
          </w:tcPr>
          <w:p>
            <w:r/>
            <w:r>
              <w:rPr>
                <w:sz w:val="19"/>
              </w:rPr>
              <w:t>5 September 2026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Removed non-applicable practice exam and tea-break slide references.</w:t>
            </w:r>
          </w:p>
        </w:tc>
        <w:tc>
          <w:tcPr>
            <w:tcW w:type="dxa" w:w="1656"/>
          </w:tcPr>
          <w:p>
            <w:r/>
            <w:r>
              <w:rPr>
                <w:sz w:val="19"/>
              </w:rPr>
              <w:t>Tertiary Infotech Academy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8.0</w:t>
            </w:r>
          </w:p>
        </w:tc>
        <w:tc>
          <w:tcPr>
            <w:tcW w:type="dxa" w:w="1656"/>
          </w:tcPr>
          <w:p>
            <w:r/>
            <w:r>
              <w:rPr>
                <w:sz w:val="19"/>
              </w:rPr>
              <w:t>15 August 2026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Rebuilt WSQ courseware, progressive activities and assessments.</w:t>
            </w:r>
          </w:p>
        </w:tc>
        <w:tc>
          <w:tcPr>
            <w:tcW w:type="dxa" w:w="1656"/>
          </w:tcPr>
          <w:p>
            <w:r/>
            <w:r>
              <w:rPr>
                <w:sz w:val="19"/>
              </w:rPr>
              <w:t>Tertiary Infotech Academy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pPr>
        <w:tabs>
          <w:tab w:pos="9072" w:val="right" w:leader="dot"/>
        </w:tabs>
        <w:spacing w:after="60"/>
      </w:pPr>
      <w:r>
        <w:fldChar w:fldCharType="begin" w:dirty="true"/>
      </w:r>
      <w:r>
        <w:instrText xml:space="preserve"> TOC \o "1-2" \h \z \u </w:instrText>
      </w:r>
      <w:r>
        <w:fldChar w:fldCharType="separate"/>
      </w:r>
      <w:r>
        <w:rPr>
          <w:rFonts w:ascii="Arial" w:hAnsi="Arial"/>
          <w:b/>
          <w:color w:val="333333"/>
          <w:sz w:val="22"/>
        </w:rPr>
        <w:t>Course Information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Outcomes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Assessment and Competency Evidence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Schedule</w:t>
        <w:tab/>
        <w:t>4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1 — Copilot fundamentals, reusable Skills and controlled transition</w:t>
        <w:tab/>
        <w:t>4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2 — Interactive dashboard, professional presentation and Microsoft 365 business agents</w:t>
        <w:tab/>
        <w:t>5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Lab Reference (aligned to course topics)</w:t>
        <w:tab/>
        <w:t>5</w:t>
      </w:r>
      <w:r>
        <w:fldChar w:fldCharType="end"/>
      </w:r>
    </w:p>
    <w:p>
      <w:r>
        <w:br w:type="page"/>
      </w:r>
    </w:p>
    <w:p>
      <w:pPr>
        <w:pStyle w:val="Heading1"/>
        <w:keepNext/>
      </w:pPr>
      <w:r>
        <w:t>Course Information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48"/>
        <w:gridCol w:w="6912"/>
      </w:tblGrid>
      <w:tr>
        <w:trPr>
          <w:cantSplit/>
        </w:trPr>
        <w:tc>
          <w:tcPr>
            <w:tcW w:type="dxa" w:w="2448"/>
            <w:shd w:val="clear" w:color="auto" w:fill="E8F0FE"/>
          </w:tcPr>
          <w:p>
            <w:r/>
            <w:r>
              <w:rPr>
                <w:b/>
                <w:sz w:val="20"/>
              </w:rPr>
              <w:t>Course Title</w:t>
            </w:r>
          </w:p>
        </w:tc>
        <w:tc>
          <w:tcPr>
            <w:tcW w:type="dxa" w:w="6912"/>
          </w:tcPr>
          <w:p>
            <w:r/>
            <w:r>
              <w:rPr>
                <w:sz w:val="20"/>
              </w:rPr>
              <w:t>Enhance Work Productivity with Microsoft 365 Copilot</w:t>
            </w:r>
          </w:p>
        </w:tc>
      </w:tr>
      <w:tr>
        <w:trPr>
          <w:cantSplit/>
        </w:trPr>
        <w:tc>
          <w:tcPr>
            <w:tcW w:type="dxa" w:w="2448"/>
            <w:shd w:val="clear" w:color="auto" w:fill="E8F0FE"/>
          </w:tcPr>
          <w:p>
            <w:r/>
            <w:r>
              <w:rPr>
                <w:b/>
                <w:sz w:val="20"/>
              </w:rPr>
              <w:t>Course Reference</w:t>
            </w:r>
          </w:p>
        </w:tc>
        <w:tc>
          <w:tcPr>
            <w:tcW w:type="dxa" w:w="6912"/>
          </w:tcPr>
          <w:p>
            <w:r/>
            <w:r>
              <w:rPr>
                <w:sz w:val="20"/>
              </w:rPr>
              <w:t>TGS-2024043856</w:t>
            </w:r>
          </w:p>
        </w:tc>
      </w:tr>
      <w:tr>
        <w:trPr>
          <w:cantSplit/>
        </w:trPr>
        <w:tc>
          <w:tcPr>
            <w:tcW w:type="dxa" w:w="2448"/>
            <w:shd w:val="clear" w:color="auto" w:fill="E8F0FE"/>
          </w:tcPr>
          <w:p>
            <w:r/>
            <w:r>
              <w:rPr>
                <w:b/>
                <w:sz w:val="20"/>
              </w:rPr>
              <w:t>TSC</w:t>
            </w:r>
          </w:p>
        </w:tc>
        <w:tc>
          <w:tcPr>
            <w:tcW w:type="dxa" w:w="6912"/>
          </w:tcPr>
          <w:p>
            <w:r/>
            <w:r>
              <w:rPr>
                <w:sz w:val="20"/>
              </w:rPr>
              <w:t>Digital Technology Adoption and Innovation (ACC-ICT-4004-1.1)</w:t>
            </w:r>
          </w:p>
        </w:tc>
      </w:tr>
      <w:tr>
        <w:trPr>
          <w:cantSplit/>
        </w:trPr>
        <w:tc>
          <w:tcPr>
            <w:tcW w:type="dxa" w:w="2448"/>
            <w:shd w:val="clear" w:color="auto" w:fill="E8F0FE"/>
          </w:tcPr>
          <w:p>
            <w:r/>
            <w:r>
              <w:rPr>
                <w:b/>
                <w:sz w:val="20"/>
              </w:rPr>
              <w:t>Training Provider</w:t>
            </w:r>
          </w:p>
        </w:tc>
        <w:tc>
          <w:tcPr>
            <w:tcW w:type="dxa" w:w="6912"/>
          </w:tcPr>
          <w:p>
            <w:r/>
            <w:r>
              <w:rPr>
                <w:sz w:val="20"/>
              </w:rPr>
              <w:t>Tertiary Infotech Academy Pte Ltd  (UEN 201200696W)</w:t>
            </w:r>
          </w:p>
        </w:tc>
      </w:tr>
      <w:tr>
        <w:trPr>
          <w:cantSplit/>
        </w:trPr>
        <w:tc>
          <w:tcPr>
            <w:tcW w:type="dxa" w:w="2448"/>
            <w:shd w:val="clear" w:color="auto" w:fill="E8F0FE"/>
          </w:tcPr>
          <w:p>
            <w:r/>
            <w:r>
              <w:rPr>
                <w:b/>
                <w:sz w:val="20"/>
              </w:rPr>
              <w:t>Duration</w:t>
            </w:r>
          </w:p>
        </w:tc>
        <w:tc>
          <w:tcPr>
            <w:tcW w:type="dxa" w:w="6912"/>
          </w:tcPr>
          <w:p>
            <w:r/>
            <w:r>
              <w:rPr>
                <w:sz w:val="20"/>
              </w:rPr>
              <w:t>2 days · 16 total hours: 14 training hours and 2 assessment hours. Breaks are excluded.</w:t>
            </w:r>
          </w:p>
        </w:tc>
      </w:tr>
      <w:tr>
        <w:trPr>
          <w:cantSplit/>
        </w:trPr>
        <w:tc>
          <w:tcPr>
            <w:tcW w:type="dxa" w:w="2448"/>
            <w:shd w:val="clear" w:color="auto" w:fill="E8F0FE"/>
          </w:tcPr>
          <w:p>
            <w:r/>
            <w:r>
              <w:rPr>
                <w:b/>
                <w:sz w:val="20"/>
              </w:rPr>
              <w:t>Daily Timing</w:t>
            </w:r>
          </w:p>
        </w:tc>
        <w:tc>
          <w:tcPr>
            <w:tcW w:type="dxa" w:w="6912"/>
          </w:tcPr>
          <w:p>
            <w:r/>
            <w:r>
              <w:rPr>
                <w:sz w:val="20"/>
              </w:rPr>
              <w:t>9:00 am - 6:30 pm (1-hour lunch; two 15-minute breaks excluded; 7 instructional hours plus 1 assessment hour)</w:t>
            </w:r>
          </w:p>
        </w:tc>
      </w:tr>
      <w:tr>
        <w:trPr>
          <w:cantSplit/>
        </w:trPr>
        <w:tc>
          <w:tcPr>
            <w:tcW w:type="dxa" w:w="2448"/>
            <w:shd w:val="clear" w:color="auto" w:fill="E8F0FE"/>
          </w:tcPr>
          <w:p>
            <w:r/>
            <w:r>
              <w:rPr>
                <w:b/>
                <w:sz w:val="20"/>
              </w:rPr>
              <w:t>Mode</w:t>
            </w:r>
          </w:p>
        </w:tc>
        <w:tc>
          <w:tcPr>
            <w:tcW w:type="dxa" w:w="6912"/>
          </w:tcPr>
          <w:p>
            <w:r/>
            <w:r>
              <w:rPr>
                <w:sz w:val="20"/>
              </w:rPr>
              <w:t>Classroom facilitation and hands-on practical labs</w:t>
            </w:r>
          </w:p>
        </w:tc>
      </w:tr>
      <w:tr>
        <w:trPr>
          <w:cantSplit/>
        </w:trPr>
        <w:tc>
          <w:tcPr>
            <w:tcW w:type="dxa" w:w="2448"/>
            <w:shd w:val="clear" w:color="auto" w:fill="E8F0FE"/>
          </w:tcPr>
          <w:p>
            <w:r/>
            <w:r>
              <w:rPr>
                <w:b/>
                <w:sz w:val="20"/>
              </w:rPr>
              <w:t>Attendance and outcome</w:t>
            </w:r>
          </w:p>
        </w:tc>
        <w:tc>
          <w:tcPr>
            <w:tcW w:type="dxa" w:w="6912"/>
          </w:tcPr>
          <w:p>
            <w:r/>
            <w:r>
              <w:rPr>
                <w:sz w:val="20"/>
              </w:rPr>
              <w:t>Minimum 75% attendance and Competent assessment outcome.</w:t>
            </w:r>
          </w:p>
        </w:tc>
      </w:tr>
      <w:tr>
        <w:trPr>
          <w:cantSplit/>
        </w:trPr>
        <w:tc>
          <w:tcPr>
            <w:tcW w:type="dxa" w:w="2448"/>
            <w:shd w:val="clear" w:color="auto" w:fill="E8F0FE"/>
          </w:tcPr>
          <w:p>
            <w:r/>
            <w:r>
              <w:rPr>
                <w:b/>
                <w:sz w:val="20"/>
              </w:rPr>
              <w:t>Trainer</w:t>
            </w:r>
          </w:p>
        </w:tc>
        <w:tc>
          <w:tcPr>
            <w:tcW w:type="dxa" w:w="6912"/>
          </w:tcPr>
          <w:p>
            <w:r/>
            <w:r>
              <w:rPr>
                <w:sz w:val="20"/>
              </w:rPr>
              <w:t>Assigned Tertiary Infotech Academy Trainer</w:t>
            </w:r>
          </w:p>
        </w:tc>
      </w:tr>
    </w:tbl>
    <w:p>
      <w:pPr>
        <w:pStyle w:val="Heading1"/>
        <w:keepNext/>
      </w:pPr>
      <w:r>
        <w:t>Learning Outcomes</w:t>
      </w:r>
    </w:p>
    <w:p>
      <w:r>
        <w:t>On completion of this course, learners will be able to:</w:t>
      </w:r>
    </w:p>
    <w:p>
      <w:pPr>
        <w:pStyle w:val="ListBullet"/>
      </w:pPr>
      <w:r>
        <w:rPr>
          <w:sz w:val="21"/>
        </w:rPr>
        <w:t>LO1: Predict and mitigate challenges in integrating Microsoft Copilot to workflow.</w:t>
      </w:r>
    </w:p>
    <w:p>
      <w:pPr>
        <w:pStyle w:val="ListBullet"/>
      </w:pPr>
      <w:r>
        <w:rPr>
          <w:sz w:val="21"/>
        </w:rPr>
        <w:t>LO2: Develop a plan for implementing Microsoft Copilot to ensure seamless transition from legacy workflow.</w:t>
      </w:r>
    </w:p>
    <w:p>
      <w:pPr>
        <w:pStyle w:val="ListBullet"/>
      </w:pPr>
      <w:r>
        <w:rPr>
          <w:sz w:val="21"/>
        </w:rPr>
        <w:t>LO3: Evaluate opportunities in using Microsoft Copilot for Teams and Outlook.</w:t>
      </w:r>
    </w:p>
    <w:p>
      <w:pPr>
        <w:pStyle w:val="ListBullet"/>
      </w:pPr>
      <w:r>
        <w:rPr>
          <w:sz w:val="21"/>
        </w:rPr>
        <w:t>LO4: Design a training plan for staff to use Microsoft Loop and Copilot Studio.</w:t>
      </w:r>
    </w:p>
    <w:p>
      <w:pPr>
        <w:pStyle w:val="Heading1"/>
        <w:keepNext/>
      </w:pPr>
      <w:r>
        <w:t>Assessment and Competency Evidence</w:t>
      </w:r>
    </w:p>
    <w:p>
      <w:pPr>
        <w:pStyle w:val="ListBullet"/>
      </w:pPr>
      <w:r>
        <w:rPr>
          <w:sz w:val="21"/>
        </w:rPr>
        <w:t>Written Assessment - Short-Answer Questions (WA-SAQ), individual, summative, open book, 60 minutes.</w:t>
      </w:r>
    </w:p>
    <w:p>
      <w:pPr>
        <w:pStyle w:val="ListBullet"/>
      </w:pPr>
      <w:r>
        <w:rPr>
          <w:sz w:val="21"/>
        </w:rPr>
        <w:t>Practical Performance (PP), individual, summative, open book, 60 minutes.</w:t>
      </w:r>
    </w:p>
    <w:p>
      <w:pPr>
        <w:pStyle w:val="ListBullet"/>
      </w:pPr>
      <w:r>
        <w:rPr>
          <w:sz w:val="21"/>
        </w:rPr>
        <w:t>Oral clarification up to 5 minutes on a need basis; not included in assessment duration.</w:t>
      </w:r>
    </w:p>
    <w:p>
      <w:pPr>
        <w:pStyle w:val="ListBullet"/>
      </w:pPr>
      <w:r>
        <w:rPr>
          <w:sz w:val="21"/>
        </w:rPr>
        <w:t>Minimum 75% attendance and Competent assessment outcome.</w:t>
      </w:r>
    </w:p>
    <w:p>
      <w:pPr>
        <w:pStyle w:val="Heading1"/>
        <w:keepNext/>
      </w:pPr>
      <w:r>
        <w:t>Course Schedule</w:t>
      </w:r>
    </w:p>
    <w:p>
      <w:pPr>
        <w:pStyle w:val="Heading2"/>
        <w:keepNext/>
      </w:pPr>
      <w:r>
        <w:t>Day 1 — Copilot fundamentals, reusable Skills and controlled transition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84"/>
        <w:gridCol w:w="1224"/>
        <w:gridCol w:w="6552"/>
      </w:tblGrid>
      <w:tr>
        <w:trPr>
          <w:tblHeader w:val="true"/>
          <w:cantSplit/>
        </w:trPr>
        <w:tc>
          <w:tcPr>
            <w:tcW w:type="dxa" w:w="1584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24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552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09:00–09:15</w:t>
            </w:r>
          </w:p>
        </w:tc>
        <w:tc>
          <w:tcPr>
            <w:tcW w:type="dxa" w:w="1224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552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Welcome, attendance, outcomes, access and Lumina scenario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09:15–10:15</w:t>
            </w:r>
          </w:p>
        </w:tc>
        <w:tc>
          <w:tcPr>
            <w:tcW w:type="dxa" w:w="1224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552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 concepts and demonstration</w:t>
            </w:r>
          </w:p>
        </w:tc>
      </w:tr>
      <w:tr>
        <w:trPr>
          <w:cantSplit/>
        </w:trPr>
        <w:tc>
          <w:tcPr>
            <w:tcW w:type="dxa" w:w="1584"/>
          </w:tcPr>
          <w:p>
            <w:r/>
            <w:r>
              <w:rPr>
                <w:rFonts w:ascii="Arial" w:hAnsi="Arial"/>
                <w:b w:val="0"/>
                <w:sz w:val="19"/>
              </w:rPr>
              <w:t>10:15–10:45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552"/>
          </w:tcPr>
          <w:p>
            <w:r/>
            <w:r>
              <w:rPr>
                <w:rFonts w:ascii="Arial" w:hAnsi="Arial"/>
                <w:b w:val="0"/>
                <w:sz w:val="19"/>
              </w:rPr>
              <w:t>Lab 1 (Excel to Word): Prepare HR Cases and Draft the HR Service Brief</w:t>
            </w:r>
          </w:p>
        </w:tc>
      </w:tr>
      <w:tr>
        <w:trPr>
          <w:cantSplit/>
        </w:trPr>
        <w:tc>
          <w:tcPr>
            <w:tcW w:type="dxa" w:w="1584"/>
          </w:tcPr>
          <w:p>
            <w:r/>
            <w:r>
              <w:rPr>
                <w:rFonts w:ascii="Arial" w:hAnsi="Arial"/>
                <w:b w:val="0"/>
                <w:sz w:val="19"/>
              </w:rPr>
              <w:t>10:45–11:15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552"/>
          </w:tcPr>
          <w:p>
            <w:r/>
            <w:r>
              <w:rPr>
                <w:rFonts w:ascii="Arial" w:hAnsi="Arial"/>
                <w:b w:val="0"/>
                <w:sz w:val="19"/>
              </w:rPr>
              <w:t>Lab 2 (Word to PowerPoint and Outlook): Create the Cross-App HR Service Update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11:15–11:30</w:t>
            </w:r>
          </w:p>
        </w:tc>
        <w:tc>
          <w:tcPr>
            <w:tcW w:type="dxa" w:w="1224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552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11:30–13:30</w:t>
            </w:r>
          </w:p>
        </w:tc>
        <w:tc>
          <w:tcPr>
            <w:tcW w:type="dxa" w:w="1224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120 min</w:t>
            </w:r>
          </w:p>
        </w:tc>
        <w:tc>
          <w:tcPr>
            <w:tcW w:type="dxa" w:w="6552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2 concepts and demonstrations</w:t>
            </w:r>
          </w:p>
        </w:tc>
      </w:tr>
      <w:tr>
        <w:trPr>
          <w:cantSplit/>
        </w:trPr>
        <w:tc>
          <w:tcPr>
            <w:tcW w:type="dxa" w:w="1584"/>
          </w:tcPr>
          <w:p>
            <w:r/>
            <w:r>
              <w:rPr>
                <w:rFonts w:ascii="Arial" w:hAnsi="Arial"/>
                <w:b w:val="0"/>
                <w:sz w:val="19"/>
              </w:rPr>
              <w:t>13:30–14:00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552"/>
          </w:tcPr>
          <w:p>
            <w:r/>
            <w:r>
              <w:rPr>
                <w:rFonts w:ascii="Arial" w:hAnsi="Arial"/>
                <w:b w:val="0"/>
                <w:sz w:val="19"/>
              </w:rPr>
              <w:t>Lab 3 (Personalisation): Personalise Copilot in Excel for Consistent HR Service Reports</w:t>
            </w:r>
          </w:p>
        </w:tc>
      </w:tr>
      <w:tr>
        <w:trPr>
          <w:cantSplit/>
        </w:trPr>
        <w:tc>
          <w:tcPr>
            <w:tcW w:type="dxa" w:w="1584"/>
          </w:tcPr>
          <w:p>
            <w:r/>
            <w:r>
              <w:rPr>
                <w:rFonts w:ascii="Arial" w:hAnsi="Arial"/>
                <w:b w:val="0"/>
                <w:sz w:val="19"/>
              </w:rPr>
              <w:t>14:00–14:30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552"/>
          </w:tcPr>
          <w:p>
            <w:r/>
            <w:r>
              <w:rPr>
                <w:rFonts w:ascii="Arial" w:hAnsi="Arial"/>
                <w:b w:val="0"/>
                <w:sz w:val="19"/>
              </w:rPr>
              <w:t>Lab 4 (Workbook .Rules): Create and Test Workbook .Rules for HR Service Reporting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14:30–15:30</w:t>
            </w:r>
          </w:p>
        </w:tc>
        <w:tc>
          <w:tcPr>
            <w:tcW w:type="dxa" w:w="1224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552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</w:t>
            </w:r>
          </w:p>
        </w:tc>
      </w:tr>
      <w:tr>
        <w:trPr>
          <w:cantSplit/>
        </w:trPr>
        <w:tc>
          <w:tcPr>
            <w:tcW w:type="dxa" w:w="1584"/>
          </w:tcPr>
          <w:p>
            <w:r/>
            <w:r>
              <w:rPr>
                <w:rFonts w:ascii="Arial" w:hAnsi="Arial"/>
                <w:b w:val="0"/>
                <w:sz w:val="19"/>
              </w:rPr>
              <w:t>15:30–16:00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552"/>
          </w:tcPr>
          <w:p>
            <w:r/>
            <w:r>
              <w:rPr>
                <w:rFonts w:ascii="Arial" w:hAnsi="Arial"/>
                <w:b w:val="0"/>
                <w:sz w:val="19"/>
              </w:rPr>
              <w:t>Lab 5 (Custom Pareto Chart Skill): Create a Custom Pareto Chart Skill and Apply It</w:t>
            </w:r>
          </w:p>
        </w:tc>
      </w:tr>
      <w:tr>
        <w:trPr>
          <w:cantSplit/>
        </w:trPr>
        <w:tc>
          <w:tcPr>
            <w:tcW w:type="dxa" w:w="1584"/>
          </w:tcPr>
          <w:p>
            <w:r/>
            <w:r>
              <w:rPr>
                <w:rFonts w:ascii="Arial" w:hAnsi="Arial"/>
                <w:b w:val="0"/>
                <w:sz w:val="19"/>
              </w:rPr>
              <w:t>16:00–16:30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552"/>
          </w:tcPr>
          <w:p>
            <w:r/>
            <w:r>
              <w:rPr>
                <w:rFonts w:ascii="Arial" w:hAnsi="Arial"/>
                <w:b w:val="0"/>
                <w:sz w:val="19"/>
              </w:rPr>
              <w:t>Lab 6 (Reporting Skill): Create, Use and Improve the HR Service Reporting Skill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16:30–16:45</w:t>
            </w:r>
          </w:p>
        </w:tc>
        <w:tc>
          <w:tcPr>
            <w:tcW w:type="dxa" w:w="1224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552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16:45–17:30</w:t>
            </w:r>
          </w:p>
        </w:tc>
        <w:tc>
          <w:tcPr>
            <w:tcW w:type="dxa" w:w="1224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45 min</w:t>
            </w:r>
          </w:p>
        </w:tc>
        <w:tc>
          <w:tcPr>
            <w:tcW w:type="dxa" w:w="6552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LO1-LO2 evidence and transition checkpoint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17:30–18:30</w:t>
            </w:r>
          </w:p>
        </w:tc>
        <w:tc>
          <w:tcPr>
            <w:tcW w:type="dxa" w:w="1224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552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Written Assessment - Short-Answer Questions</w:t>
            </w:r>
          </w:p>
        </w:tc>
      </w:tr>
    </w:tbl>
    <w:p>
      <w:r>
        <w:rPr>
          <w:i/>
          <w:color w:val="555B66"/>
          <w:sz w:val="19"/>
        </w:rPr>
        <w:t>Approved counted duration: 420 minutes (7 hours) training plus 60 minutes (1 hour) assessment. Lunch and tea breaks are excluded.</w:t>
      </w:r>
    </w:p>
    <w:p>
      <w:pPr>
        <w:pStyle w:val="Heading2"/>
        <w:keepNext/>
      </w:pPr>
      <w:r>
        <w:t>Day 2 — Interactive dashboard, professional presentation and Microsoft 365 business agents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84"/>
        <w:gridCol w:w="1224"/>
        <w:gridCol w:w="6552"/>
      </w:tblGrid>
      <w:tr>
        <w:trPr>
          <w:tblHeader w:val="true"/>
          <w:cantSplit/>
        </w:trPr>
        <w:tc>
          <w:tcPr>
            <w:tcW w:type="dxa" w:w="1584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24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552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09:00–09:10</w:t>
            </w:r>
          </w:p>
        </w:tc>
        <w:tc>
          <w:tcPr>
            <w:tcW w:type="dxa" w:w="1224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10 min</w:t>
            </w:r>
          </w:p>
        </w:tc>
        <w:tc>
          <w:tcPr>
            <w:tcW w:type="dxa" w:w="6552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2 briefing and fixed-baseline check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09:10–10:25</w:t>
            </w:r>
          </w:p>
        </w:tc>
        <w:tc>
          <w:tcPr>
            <w:tcW w:type="dxa" w:w="1224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6552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3 concepts and demonstration</w:t>
            </w:r>
          </w:p>
        </w:tc>
      </w:tr>
      <w:tr>
        <w:trPr>
          <w:cantSplit/>
        </w:trPr>
        <w:tc>
          <w:tcPr>
            <w:tcW w:type="dxa" w:w="1584"/>
          </w:tcPr>
          <w:p>
            <w:r/>
            <w:r>
              <w:rPr>
                <w:rFonts w:ascii="Arial" w:hAnsi="Arial"/>
                <w:b w:val="0"/>
                <w:sz w:val="19"/>
              </w:rPr>
              <w:t>10:25–10:55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552"/>
          </w:tcPr>
          <w:p>
            <w:r/>
            <w:r>
              <w:rPr>
                <w:rFonts w:ascii="Arial" w:hAnsi="Arial"/>
                <w:b w:val="0"/>
                <w:sz w:val="19"/>
              </w:rPr>
              <w:t>Lab 7 (Custom Dashboard Skill): Create and Apply a Custom Interactive Dashboard Skill</w:t>
            </w:r>
          </w:p>
        </w:tc>
      </w:tr>
      <w:tr>
        <w:trPr>
          <w:cantSplit/>
        </w:trPr>
        <w:tc>
          <w:tcPr>
            <w:tcW w:type="dxa" w:w="1584"/>
          </w:tcPr>
          <w:p>
            <w:r/>
            <w:r>
              <w:rPr>
                <w:rFonts w:ascii="Arial" w:hAnsi="Arial"/>
                <w:b w:val="0"/>
                <w:sz w:val="19"/>
              </w:rPr>
              <w:t>10:55–11:25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552"/>
          </w:tcPr>
          <w:p>
            <w:r/>
            <w:r>
              <w:rPr>
                <w:rFonts w:ascii="Arial" w:hAnsi="Arial"/>
                <w:b w:val="0"/>
                <w:sz w:val="19"/>
              </w:rPr>
              <w:t>Lab 8 (Interactive Filters and Refresh): Use the Dashboard Skill for Filters, Refresh and Safe Reruns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11:25–11:40</w:t>
            </w:r>
          </w:p>
        </w:tc>
        <w:tc>
          <w:tcPr>
            <w:tcW w:type="dxa" w:w="1224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552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rPr>
          <w:cantSplit/>
        </w:trPr>
        <w:tc>
          <w:tcPr>
            <w:tcW w:type="dxa" w:w="1584"/>
          </w:tcPr>
          <w:p>
            <w:r/>
            <w:r>
              <w:rPr>
                <w:rFonts w:ascii="Arial" w:hAnsi="Arial"/>
                <w:b w:val="0"/>
                <w:sz w:val="19"/>
              </w:rPr>
              <w:t>11:40–12:10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552"/>
          </w:tcPr>
          <w:p>
            <w:r/>
            <w:r>
              <w:rPr>
                <w:rFonts w:ascii="Arial" w:hAnsi="Arial"/>
                <w:b w:val="0"/>
                <w:sz w:val="19"/>
              </w:rPr>
              <w:t>Lab 9 (Dashboard to presentation): Turn Dashboard Evidence into a Management Story</w:t>
            </w:r>
          </w:p>
        </w:tc>
      </w:tr>
      <w:tr>
        <w:trPr>
          <w:cantSplit/>
        </w:trPr>
        <w:tc>
          <w:tcPr>
            <w:tcW w:type="dxa" w:w="1584"/>
          </w:tcPr>
          <w:p>
            <w:r/>
            <w:r>
              <w:rPr>
                <w:rFonts w:ascii="Arial" w:hAnsi="Arial"/>
                <w:b w:val="0"/>
                <w:sz w:val="19"/>
              </w:rPr>
              <w:t>12:10–12:40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552"/>
          </w:tcPr>
          <w:p>
            <w:r/>
            <w:r>
              <w:rPr>
                <w:rFonts w:ascii="Arial" w:hAnsi="Arial"/>
                <w:b w:val="0"/>
                <w:sz w:val="19"/>
              </w:rPr>
              <w:t>Lab 10 (Professional handoff): Refine and Present the HR Service Decision Deck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12:40–13:40</w:t>
            </w:r>
          </w:p>
        </w:tc>
        <w:tc>
          <w:tcPr>
            <w:tcW w:type="dxa" w:w="1224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552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13:40–14:55</w:t>
            </w:r>
          </w:p>
        </w:tc>
        <w:tc>
          <w:tcPr>
            <w:tcW w:type="dxa" w:w="1224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6552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4 concepts and Agent Builder demonstration</w:t>
            </w:r>
          </w:p>
        </w:tc>
      </w:tr>
      <w:tr>
        <w:trPr>
          <w:cantSplit/>
        </w:trPr>
        <w:tc>
          <w:tcPr>
            <w:tcW w:type="dxa" w:w="1584"/>
          </w:tcPr>
          <w:p>
            <w:r/>
            <w:r>
              <w:rPr>
                <w:rFonts w:ascii="Arial" w:hAnsi="Arial"/>
                <w:b w:val="0"/>
                <w:sz w:val="19"/>
              </w:rPr>
              <w:t>14:55–15:25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552"/>
          </w:tcPr>
          <w:p>
            <w:r/>
            <w:r>
              <w:rPr>
                <w:rFonts w:ascii="Arial" w:hAnsi="Arial"/>
                <w:b w:val="0"/>
                <w:sz w:val="19"/>
              </w:rPr>
              <w:t>Lab 11 (Agent Scope and Knowledge): Design the HR Policy Agent: Users, Knowledge and Skill</w:t>
            </w:r>
          </w:p>
        </w:tc>
      </w:tr>
      <w:tr>
        <w:trPr>
          <w:cantSplit/>
        </w:trPr>
        <w:tc>
          <w:tcPr>
            <w:tcW w:type="dxa" w:w="1584"/>
          </w:tcPr>
          <w:p>
            <w:r/>
            <w:r>
              <w:rPr>
                <w:rFonts w:ascii="Arial" w:hAnsi="Arial"/>
                <w:b w:val="0"/>
                <w:sz w:val="19"/>
              </w:rPr>
              <w:t>15:25–15:55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552"/>
          </w:tcPr>
          <w:p>
            <w:r/>
            <w:r>
              <w:rPr>
                <w:rFonts w:ascii="Arial" w:hAnsi="Arial"/>
                <w:b w:val="0"/>
                <w:sz w:val="19"/>
              </w:rPr>
              <w:t>Lab 12 (Agent Configuration): Build the HR Agent: Instructions, Knowledge, Skill and Starter Prompts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15:55–16:10</w:t>
            </w:r>
          </w:p>
        </w:tc>
        <w:tc>
          <w:tcPr>
            <w:tcW w:type="dxa" w:w="1224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552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rPr>
          <w:cantSplit/>
        </w:trPr>
        <w:tc>
          <w:tcPr>
            <w:tcW w:type="dxa" w:w="1584"/>
          </w:tcPr>
          <w:p>
            <w:r/>
            <w:r>
              <w:rPr>
                <w:rFonts w:ascii="Arial" w:hAnsi="Arial"/>
                <w:b w:val="0"/>
                <w:sz w:val="19"/>
              </w:rPr>
              <w:t>16:10–16:40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552"/>
          </w:tcPr>
          <w:p>
            <w:r/>
            <w:r>
              <w:rPr>
                <w:rFonts w:ascii="Arial" w:hAnsi="Arial"/>
                <w:b w:val="0"/>
                <w:sz w:val="19"/>
              </w:rPr>
              <w:t>Lab 13 (Agent Test and Evaluation): Test Grounded HR Answers, Citations and Guardrails</w:t>
            </w:r>
          </w:p>
        </w:tc>
      </w:tr>
      <w:tr>
        <w:trPr>
          <w:cantSplit/>
        </w:trPr>
        <w:tc>
          <w:tcPr>
            <w:tcW w:type="dxa" w:w="1584"/>
          </w:tcPr>
          <w:p>
            <w:r/>
            <w:r>
              <w:rPr>
                <w:rFonts w:ascii="Arial" w:hAnsi="Arial"/>
                <w:b w:val="0"/>
                <w:sz w:val="19"/>
              </w:rPr>
              <w:t>16:40–17:10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552"/>
          </w:tcPr>
          <w:p>
            <w:r/>
            <w:r>
              <w:rPr>
                <w:rFonts w:ascii="Arial" w:hAnsi="Arial"/>
                <w:b w:val="0"/>
                <w:sz w:val="19"/>
              </w:rPr>
              <w:t>Lab 14 (Governed Sharing and Enablement): Share the HR Agent with Named Users and Deliver Staff Enablement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17:10–17:30</w:t>
            </w:r>
          </w:p>
        </w:tc>
        <w:tc>
          <w:tcPr>
            <w:tcW w:type="dxa" w:w="1224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20 min</w:t>
            </w:r>
          </w:p>
        </w:tc>
        <w:tc>
          <w:tcPr>
            <w:tcW w:type="dxa" w:w="6552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LO3-LO4 evidence, sharing gate and closing: 5 Principles of AI Security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17:30–18:30</w:t>
            </w:r>
          </w:p>
        </w:tc>
        <w:tc>
          <w:tcPr>
            <w:tcW w:type="dxa" w:w="1224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552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Practical Performance</w:t>
            </w:r>
          </w:p>
        </w:tc>
      </w:tr>
    </w:tbl>
    <w:p>
      <w:r>
        <w:rPr>
          <w:i/>
          <w:color w:val="555B66"/>
          <w:sz w:val="19"/>
        </w:rPr>
        <w:t>Approved counted duration: 420 minutes (7 hours) training plus 60 minutes (1 hour) assessment. Lunch and tea breaks are excluded.</w:t>
      </w:r>
    </w:p>
    <w:p>
      <w:pPr>
        <w:pStyle w:val="Heading1"/>
        <w:keepNext/>
      </w:pPr>
      <w:r>
        <w:t>Lab Reference (aligned to course topics)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96"/>
        <w:gridCol w:w="1872"/>
        <w:gridCol w:w="2592"/>
      </w:tblGrid>
      <w:tr>
        <w:trPr>
          <w:tblHeader w:val="true"/>
          <w:cantSplit/>
        </w:trPr>
        <w:tc>
          <w:tcPr>
            <w:tcW w:type="dxa" w:w="48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</w:t>
            </w:r>
          </w:p>
        </w:tc>
        <w:tc>
          <w:tcPr>
            <w:tcW w:type="dxa" w:w="1872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Coverage</w:t>
            </w:r>
          </w:p>
        </w:tc>
        <w:tc>
          <w:tcPr>
            <w:tcW w:type="dxa" w:w="2592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Labs</w:t>
            </w:r>
          </w:p>
        </w:tc>
      </w:tr>
      <w:tr>
        <w:trPr>
          <w:cantSplit/>
        </w:trPr>
        <w:tc>
          <w:tcPr>
            <w:tcW w:type="dxa" w:w="489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1: Microsoft 365 Copilot Fundamentals</w:t>
            </w:r>
          </w:p>
        </w:tc>
        <w:tc>
          <w:tcPr>
            <w:tcW w:type="dxa" w:w="187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K1 · A1</w:t>
            </w:r>
          </w:p>
        </w:tc>
        <w:tc>
          <w:tcPr>
            <w:tcW w:type="dxa" w:w="2592"/>
          </w:tcPr>
          <w:p>
            <w:r/>
            <w:r>
              <w:rPr>
                <w:rFonts w:ascii="Arial" w:hAnsi="Arial"/>
                <w:b w:val="0"/>
                <w:sz w:val="19"/>
              </w:rPr>
              <w:t>Lab 1, Lab 2</w:t>
            </w:r>
          </w:p>
        </w:tc>
      </w:tr>
      <w:tr>
        <w:trPr>
          <w:cantSplit/>
        </w:trPr>
        <w:tc>
          <w:tcPr>
            <w:tcW w:type="dxa" w:w="489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2: Skills, Rules and Personalisation</w:t>
            </w:r>
          </w:p>
        </w:tc>
        <w:tc>
          <w:tcPr>
            <w:tcW w:type="dxa" w:w="187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K3 · A2</w:t>
            </w:r>
          </w:p>
        </w:tc>
        <w:tc>
          <w:tcPr>
            <w:tcW w:type="dxa" w:w="2592"/>
          </w:tcPr>
          <w:p>
            <w:r/>
            <w:r>
              <w:rPr>
                <w:rFonts w:ascii="Arial" w:hAnsi="Arial"/>
                <w:b w:val="0"/>
                <w:sz w:val="19"/>
              </w:rPr>
              <w:t>Lab 3, Lab 4, Lab 5, Lab 6</w:t>
            </w:r>
          </w:p>
        </w:tc>
      </w:tr>
      <w:tr>
        <w:trPr>
          <w:cantSplit/>
        </w:trPr>
        <w:tc>
          <w:tcPr>
            <w:tcW w:type="dxa" w:w="489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3: Create Interactive Dashboard and Professional Presentation</w:t>
            </w:r>
          </w:p>
        </w:tc>
        <w:tc>
          <w:tcPr>
            <w:tcW w:type="dxa" w:w="187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K2 · A3</w:t>
            </w:r>
          </w:p>
        </w:tc>
        <w:tc>
          <w:tcPr>
            <w:tcW w:type="dxa" w:w="2592"/>
          </w:tcPr>
          <w:p>
            <w:r/>
            <w:r>
              <w:rPr>
                <w:rFonts w:ascii="Arial" w:hAnsi="Arial"/>
                <w:b w:val="0"/>
                <w:sz w:val="19"/>
              </w:rPr>
              <w:t>Lab 7, Lab 8, Lab 9, Lab 10</w:t>
            </w:r>
          </w:p>
        </w:tc>
      </w:tr>
      <w:tr>
        <w:trPr>
          <w:cantSplit/>
        </w:trPr>
        <w:tc>
          <w:tcPr>
            <w:tcW w:type="dxa" w:w="489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4: Create Microsoft 365 Agents for Businesses</w:t>
            </w:r>
          </w:p>
        </w:tc>
        <w:tc>
          <w:tcPr>
            <w:tcW w:type="dxa" w:w="187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K4 · A4</w:t>
            </w:r>
          </w:p>
        </w:tc>
        <w:tc>
          <w:tcPr>
            <w:tcW w:type="dxa" w:w="2592"/>
          </w:tcPr>
          <w:p>
            <w:r/>
            <w:r>
              <w:rPr>
                <w:rFonts w:ascii="Arial" w:hAnsi="Arial"/>
                <w:b w:val="0"/>
                <w:sz w:val="19"/>
              </w:rPr>
              <w:t>Lab 11, Lab 12, Lab 13, Lab 14</w:t>
            </w:r>
          </w:p>
        </w:tc>
      </w:tr>
    </w:tbl>
    <w:sectPr w:rsidR="00FC693F" w:rsidRPr="0006063C" w:rsidSect="00034616"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