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9072"/>
      </w:tblGrid>
      <w:tr>
        <w:tc>
          <w:tcPr>
            <w:tcW w:type="dxa" w:w="5032"/>
          </w:tcPr>
          <w:p>
            <w:r>
              <w:drawing>
                <wp:inline xmlns:a="http://schemas.openxmlformats.org/drawingml/2006/main" xmlns:pic="http://schemas.openxmlformats.org/drawingml/2006/picture">
                  <wp:extent cx="420624" cy="420624"/>
                  <wp:docPr id="1" name="Picture 1"/>
                  <wp:cNvGraphicFramePr>
                    <a:graphicFrameLocks noChangeAspect="1"/>
                  </wp:cNvGraphicFramePr>
                  <a:graphic>
                    <a:graphicData uri="http://schemas.openxmlformats.org/drawingml/2006/picture">
                      <pic:pic>
                        <pic:nvPicPr>
                          <pic:cNvPr id="0" name="tia-logo-mark.png"/>
                          <pic:cNvPicPr/>
                        </pic:nvPicPr>
                        <pic:blipFill>
                          <a:blip r:embed="rId10"/>
                          <a:stretch>
                            <a:fillRect/>
                          </a:stretch>
                        </pic:blipFill>
                        <pic:spPr>
                          <a:xfrm>
                            <a:off x="0" y="0"/>
                            <a:ext cx="420624" cy="420624"/>
                          </a:xfrm>
                          <a:prstGeom prst="rect"/>
                        </pic:spPr>
                      </pic:pic>
                    </a:graphicData>
                  </a:graphic>
                </wp:inline>
              </w:drawing>
            </w:r>
          </w:p>
        </w:tc>
        <w:tc>
          <w:tcPr>
            <w:tcW w:type="dxa" w:w="5032"/>
          </w:tcPr>
          <w:p>
            <w:r>
              <w:rPr>
                <w:rFonts w:ascii="Aptos" w:hAnsi="Aptos"/>
                <w:b/>
                <w:color w:val="10284B"/>
                <w:sz w:val="23"/>
              </w:rPr>
              <w:t>TERTIARY INFOTECH ACADEMY</w:t>
            </w:r>
          </w:p>
          <w:p>
            <w:pPr>
              <w:spacing w:after="0"/>
            </w:pPr>
            <w:r>
              <w:rPr>
                <w:rFonts w:ascii="Aptos" w:hAnsi="Aptos"/>
                <w:b w:val="0"/>
                <w:color w:val="5B6D81"/>
                <w:sz w:val="16"/>
              </w:rPr>
              <w:t>Practical technology training for the work you do</w:t>
            </w:r>
          </w:p>
        </w:tc>
      </w:tr>
    </w:tbl>
    <w:p>
      <w:pPr>
        <w:spacing w:after="0"/>
      </w:pPr>
    </w:p>
    <w:tbl>
      <w:tblPr>
        <w:tblW w:type="auto" w:w="0"/>
        <w:tblLook w:firstColumn="1" w:firstRow="1" w:lastColumn="0" w:lastRow="0" w:noHBand="0" w:noVBand="1" w:val="04A0"/>
        <w:tblBorders>
          <w:top w:val="nil"/>
          <w:left w:val="nil"/>
          <w:bottom w:val="nil"/>
          <w:right w:val="nil"/>
          <w:insideH w:val="nil"/>
          <w:insideV w:val="nil"/>
        </w:tblBorders>
      </w:tblPr>
      <w:tblGrid>
        <w:gridCol w:w="10065"/>
      </w:tblGrid>
      <w:tr>
        <w:tc>
          <w:tcPr>
            <w:tcW w:type="dxa" w:w="10065"/>
            <w:shd w:fill="10284B"/>
            <w:tcMar>
              <w:top w:w="290" w:type="dxa"/>
              <w:start w:w="330" w:type="dxa"/>
              <w:bottom w:w="270" w:type="dxa"/>
              <w:end w:w="330" w:type="dxa"/>
            </w:tcMar>
          </w:tcPr>
          <w:p>
            <w:pPr>
              <w:spacing w:after="160" w:line="259" w:lineRule="auto"/>
            </w:pPr>
            <w:r>
              <w:rPr>
                <w:rFonts w:ascii="Aptos" w:hAnsi="Aptos"/>
                <w:b/>
                <w:color w:val="F4B544"/>
                <w:sz w:val="17"/>
              </w:rPr>
              <w:t>WSQ COURSE  /  WSQ AI and Microsoft Copilot</w:t>
            </w:r>
          </w:p>
          <w:p>
            <w:pPr>
              <w:spacing w:after="200" w:line="259" w:lineRule="auto"/>
            </w:pPr>
            <w:r>
              <w:rPr>
                <w:rFonts w:ascii="Aptos" w:hAnsi="Aptos"/>
                <w:b/>
                <w:color w:val="FFFFFF"/>
                <w:sz w:val="54"/>
              </w:rPr>
              <w:t>AI Transformation with Microsoft Copilot</w:t>
            </w:r>
          </w:p>
          <w:p>
            <w:pPr>
              <w:spacing w:after="240" w:line="259" w:lineRule="auto"/>
            </w:pPr>
            <w:r>
              <w:rPr>
                <w:rFonts w:ascii="Aptos" w:hAnsi="Aptos"/>
                <w:b w:val="0"/>
                <w:color w:val="BEEBF3"/>
                <w:sz w:val="26"/>
              </w:rPr>
              <w:t>Lead Copilot transformation with clearer decisions and measurable outcomes</w:t>
            </w:r>
          </w:p>
          <w:p>
            <w:pPr>
              <w:spacing w:after="0" w:line="259" w:lineRule="auto"/>
            </w:pPr>
            <w:r>
              <w:rPr>
                <w:rFonts w:ascii="Aptos" w:hAnsi="Aptos"/>
                <w:b/>
                <w:color w:val="80DDEE"/>
                <w:sz w:val="18"/>
              </w:rPr>
              <w:t>TGS-2024044051</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2516"/>
        <w:gridCol w:w="2516"/>
        <w:gridCol w:w="2516"/>
        <w:gridCol w:w="2516"/>
      </w:tblGrid>
      <w:tr>
        <w:tc>
          <w:tcPr>
            <w:tcW w:type="dxa" w:w="2516"/>
            <w:shd w:fill="F3F6FA"/>
            <w:tcMar>
              <w:top w:w="145" w:type="dxa"/>
              <w:start w:w="90" w:type="dxa"/>
              <w:bottom w:w="135" w:type="dxa"/>
              <w:end w:w="90" w:type="dxa"/>
            </w:tcMar>
          </w:tcPr>
          <w:p>
            <w:pPr>
              <w:spacing w:after="60" w:line="259" w:lineRule="auto"/>
            </w:pPr>
            <w:r>
              <w:rPr>
                <w:rFonts w:ascii="Aptos" w:hAnsi="Aptos"/>
                <w:b/>
                <w:color w:val="15498C"/>
                <w:sz w:val="21"/>
              </w:rPr>
              <w:t>3 days</w:t>
            </w:r>
          </w:p>
          <w:p>
            <w:pPr>
              <w:spacing w:after="0" w:line="259" w:lineRule="auto"/>
            </w:pPr>
            <w:r>
              <w:rPr>
                <w:rFonts w:ascii="Aptos" w:hAnsi="Aptos"/>
                <w:b w:val="0"/>
                <w:color w:val="5B6D81"/>
                <w:sz w:val="14"/>
              </w:rPr>
              <w:t>DURATION</w:t>
            </w:r>
          </w:p>
        </w:tc>
        <w:tc>
          <w:tcPr>
            <w:tcW w:type="dxa" w:w="2516"/>
            <w:shd w:fill="F3F6FA"/>
            <w:tcMar>
              <w:top w:w="145" w:type="dxa"/>
              <w:start w:w="90" w:type="dxa"/>
              <w:bottom w:w="135" w:type="dxa"/>
              <w:end w:w="90" w:type="dxa"/>
            </w:tcMar>
          </w:tcPr>
          <w:p>
            <w:pPr>
              <w:spacing w:after="60" w:line="259" w:lineRule="auto"/>
            </w:pPr>
            <w:r>
              <w:rPr>
                <w:rFonts w:ascii="Aptos" w:hAnsi="Aptos"/>
                <w:b/>
                <w:color w:val="15498C"/>
                <w:sz w:val="21"/>
              </w:rPr>
              <w:t xml:space="preserve">24 hours including 2 hours of </w:t>
            </w:r>
          </w:p>
          <w:p>
            <w:pPr>
              <w:spacing w:after="0" w:line="259" w:lineRule="auto"/>
            </w:pPr>
            <w:r>
              <w:rPr>
                <w:rFonts w:ascii="Aptos" w:hAnsi="Aptos"/>
                <w:b w:val="0"/>
                <w:color w:val="5B6D81"/>
                <w:sz w:val="14"/>
              </w:rPr>
              <w:t>TRAINING</w:t>
            </w:r>
          </w:p>
        </w:tc>
        <w:tc>
          <w:tcPr>
            <w:tcW w:type="dxa" w:w="2516"/>
            <w:shd w:fill="F3F6FA"/>
            <w:tcMar>
              <w:top w:w="145" w:type="dxa"/>
              <w:start w:w="90" w:type="dxa"/>
              <w:bottom w:w="135" w:type="dxa"/>
              <w:end w:w="90" w:type="dxa"/>
            </w:tcMar>
          </w:tcPr>
          <w:p>
            <w:pPr>
              <w:spacing w:after="60" w:line="259" w:lineRule="auto"/>
            </w:pPr>
            <w:r>
              <w:rPr>
                <w:rFonts w:ascii="Aptos" w:hAnsi="Aptos"/>
                <w:b/>
                <w:color w:val="15498C"/>
                <w:sz w:val="21"/>
              </w:rPr>
              <w:t>Beginner</w:t>
            </w:r>
          </w:p>
          <w:p>
            <w:pPr>
              <w:spacing w:after="0" w:line="259" w:lineRule="auto"/>
            </w:pPr>
            <w:r>
              <w:rPr>
                <w:rFonts w:ascii="Aptos" w:hAnsi="Aptos"/>
                <w:b w:val="0"/>
                <w:color w:val="5B6D81"/>
                <w:sz w:val="14"/>
              </w:rPr>
              <w:t>LEVEL</w:t>
            </w:r>
          </w:p>
        </w:tc>
        <w:tc>
          <w:tcPr>
            <w:tcW w:type="dxa" w:w="2516"/>
            <w:shd w:fill="F3F6FA"/>
            <w:tcMar>
              <w:top w:w="145" w:type="dxa"/>
              <w:start w:w="90" w:type="dxa"/>
              <w:bottom w:w="135" w:type="dxa"/>
              <w:end w:w="90" w:type="dxa"/>
            </w:tcMar>
          </w:tcPr>
          <w:p>
            <w:pPr>
              <w:spacing w:after="60" w:line="259" w:lineRule="auto"/>
            </w:pPr>
            <w:r>
              <w:rPr>
                <w:rFonts w:ascii="Aptos" w:hAnsi="Aptos"/>
                <w:b/>
                <w:color w:val="15498C"/>
                <w:sz w:val="21"/>
              </w:rPr>
              <w:t>12 Woodlands Square #07-85/86/</w:t>
            </w:r>
          </w:p>
          <w:p>
            <w:pPr>
              <w:spacing w:after="0" w:line="259" w:lineRule="auto"/>
            </w:pPr>
            <w:r>
              <w:rPr>
                <w:rFonts w:ascii="Aptos" w:hAnsi="Aptos"/>
                <w:b w:val="0"/>
                <w:color w:val="5B6D81"/>
                <w:sz w:val="14"/>
              </w:rPr>
              <w:t>VENUE</w:t>
            </w:r>
          </w:p>
        </w:tc>
      </w:tr>
    </w:tbl>
    <w:p>
      <w:pPr>
        <w:keepNext/>
        <w:spacing w:before="200" w:after="120"/>
      </w:pPr>
      <w:r>
        <w:rPr>
          <w:rFonts w:ascii="Aptos" w:hAnsi="Aptos"/>
          <w:b/>
          <w:color w:val="10284B"/>
          <w:sz w:val="36"/>
        </w:rPr>
        <w:t>Why this matters now</w:t>
      </w:r>
    </w:p>
    <w:tbl>
      <w:tblPr>
        <w:tblW w:type="auto" w:w="0"/>
        <w:tblLook w:firstColumn="1" w:firstRow="1" w:lastColumn="0" w:lastRow="0" w:noHBand="0" w:noVBand="1" w:val="04A0"/>
        <w:tblBorders>
          <w:top w:val="nil"/>
          <w:left w:val="nil"/>
          <w:bottom w:val="nil"/>
          <w:right w:val="nil"/>
          <w:insideH w:val="nil"/>
          <w:insideV w:val="nil"/>
        </w:tblBorders>
      </w:tblPr>
      <w:tblGrid>
        <w:gridCol w:w="10065"/>
      </w:tblGrid>
      <w:tr>
        <w:tc>
          <w:tcPr>
            <w:tcW w:type="dxa" w:w="10065"/>
            <w:shd w:fill="ECF7FA"/>
            <w:tcMar>
              <w:top w:w="165" w:type="dxa"/>
              <w:start w:w="190" w:type="dxa"/>
              <w:bottom w:w="165" w:type="dxa"/>
              <w:end w:w="190" w:type="dxa"/>
            </w:tcMar>
          </w:tcPr>
          <w:p>
            <w:pPr>
              <w:spacing w:after="0" w:line="259" w:lineRule="auto"/>
            </w:pPr>
            <w:r>
              <w:rPr>
                <w:rFonts w:ascii="Aptos" w:hAnsi="Aptos"/>
                <w:b w:val="0"/>
                <w:color w:val="10284B"/>
                <w:sz w:val="20"/>
              </w:rPr>
              <w:t>Give senior leaders a practical way to use Microsoft Copilot in their own decisions. Build a sourced board brief, a safe-use charter, a 30-seat pilot plan and a value scorecard, then decide whether to scale. The focus is executive judgment and business results.</w:t>
            </w:r>
          </w:p>
        </w:tc>
      </w:tr>
    </w:tbl>
    <w:p>
      <w:pPr>
        <w:keepNext/>
        <w:spacing w:before="200" w:after="120"/>
      </w:pPr>
      <w:r>
        <w:rPr>
          <w:rFonts w:ascii="Aptos" w:hAnsi="Aptos"/>
          <w:b/>
          <w:color w:val="10284B"/>
          <w:sz w:val="30"/>
        </w:rPr>
        <w:t>Fee at a glance</w:t>
      </w:r>
    </w:p>
    <w:tbl>
      <w:tblPr>
        <w:tblW w:type="auto" w:w="0"/>
        <w:tblLook w:firstColumn="1" w:firstRow="1" w:lastColumn="0" w:lastRow="0" w:noHBand="0" w:noVBand="1" w:val="04A0"/>
        <w:tblBorders>
          <w:top w:val="nil"/>
          <w:left w:val="nil"/>
          <w:bottom w:val="nil"/>
          <w:right w:val="nil"/>
          <w:insideH w:val="nil"/>
          <w:insideV w:val="nil"/>
        </w:tblBorders>
      </w:tblPr>
      <w:tblGrid>
        <w:gridCol w:w="3355"/>
        <w:gridCol w:w="3355"/>
        <w:gridCol w:w="3355"/>
      </w:tblGrid>
      <w:tr>
        <w:tc>
          <w:tcPr>
            <w:tcW w:type="dxa" w:w="3355"/>
            <w:shd w:fill="F3F6FA"/>
            <w:tcMar>
              <w:top w:w="150" w:type="dxa"/>
              <w:start w:w="140" w:type="dxa"/>
              <w:bottom w:w="150" w:type="dxa"/>
              <w:end w:w="140" w:type="dxa"/>
            </w:tcMar>
          </w:tcPr>
          <w:p>
            <w:pPr>
              <w:spacing w:after="80" w:line="259" w:lineRule="auto"/>
            </w:pPr>
            <w:r>
              <w:rPr>
                <w:rFonts w:ascii="Aptos" w:hAnsi="Aptos"/>
                <w:b/>
                <w:color w:val="15498C"/>
                <w:sz w:val="16"/>
              </w:rPr>
              <w:t>BEFORE GST</w:t>
            </w:r>
          </w:p>
          <w:p>
            <w:pPr>
              <w:spacing w:after="60" w:line="259" w:lineRule="auto"/>
            </w:pPr>
            <w:r>
              <w:rPr>
                <w:rFonts w:ascii="Aptos" w:hAnsi="Aptos"/>
                <w:b/>
                <w:color w:val="10284B"/>
                <w:sz w:val="36"/>
              </w:rPr>
              <w:t>$1,500</w:t>
            </w:r>
          </w:p>
          <w:p>
            <w:pPr>
              <w:spacing w:after="0" w:line="259" w:lineRule="auto"/>
            </w:pPr>
            <w:r>
              <w:rPr>
                <w:rFonts w:ascii="Aptos" w:hAnsi="Aptos"/>
                <w:b w:val="0"/>
                <w:color w:val="5B6D81"/>
                <w:sz w:val="15"/>
              </w:rPr>
              <w:t>Published course fee</w:t>
            </w:r>
          </w:p>
        </w:tc>
        <w:tc>
          <w:tcPr>
            <w:tcW w:type="dxa" w:w="3355"/>
            <w:shd w:fill="F3F6FA"/>
            <w:tcMar>
              <w:top w:w="150" w:type="dxa"/>
              <w:start w:w="140" w:type="dxa"/>
              <w:bottom w:w="150" w:type="dxa"/>
              <w:end w:w="140" w:type="dxa"/>
            </w:tcMar>
          </w:tcPr>
          <w:p>
            <w:pPr>
              <w:spacing w:after="80" w:line="259" w:lineRule="auto"/>
            </w:pPr>
            <w:r>
              <w:rPr>
                <w:rFonts w:ascii="Aptos" w:hAnsi="Aptos"/>
                <w:b/>
                <w:color w:val="15498C"/>
                <w:sz w:val="16"/>
              </w:rPr>
              <w:t>AFTER GST</w:t>
            </w:r>
          </w:p>
          <w:p>
            <w:pPr>
              <w:spacing w:after="60" w:line="259" w:lineRule="auto"/>
            </w:pPr>
            <w:r>
              <w:rPr>
                <w:rFonts w:ascii="Aptos" w:hAnsi="Aptos"/>
                <w:b/>
                <w:color w:val="10284B"/>
                <w:sz w:val="36"/>
              </w:rPr>
              <w:t>$1,635</w:t>
            </w:r>
          </w:p>
          <w:p>
            <w:pPr>
              <w:spacing w:after="0" w:line="259" w:lineRule="auto"/>
            </w:pPr>
            <w:r>
              <w:rPr>
                <w:rFonts w:ascii="Aptos" w:hAnsi="Aptos"/>
                <w:b w:val="0"/>
                <w:color w:val="5B6D81"/>
                <w:sz w:val="15"/>
              </w:rPr>
              <w:t>GST included</w:t>
            </w:r>
          </w:p>
        </w:tc>
        <w:tc>
          <w:tcPr>
            <w:tcW w:type="dxa" w:w="3355"/>
            <w:shd w:fill="10284B"/>
            <w:tcMar>
              <w:top w:w="150" w:type="dxa"/>
              <w:start w:w="140" w:type="dxa"/>
              <w:bottom w:w="150" w:type="dxa"/>
              <w:end w:w="140" w:type="dxa"/>
            </w:tcMar>
          </w:tcPr>
          <w:p>
            <w:pPr>
              <w:spacing w:after="80" w:line="259" w:lineRule="auto"/>
            </w:pPr>
            <w:r>
              <w:rPr>
                <w:rFonts w:ascii="Aptos" w:hAnsi="Aptos"/>
                <w:b/>
                <w:color w:val="F4B544"/>
                <w:sz w:val="16"/>
              </w:rPr>
              <w:t>MCES / SME 70% FUNDED</w:t>
            </w:r>
          </w:p>
          <w:p>
            <w:pPr>
              <w:spacing w:after="60" w:line="259" w:lineRule="auto"/>
            </w:pPr>
            <w:r>
              <w:rPr>
                <w:rFonts w:ascii="Aptos" w:hAnsi="Aptos"/>
                <w:b/>
                <w:color w:val="FFFFFF"/>
                <w:sz w:val="36"/>
              </w:rPr>
              <w:t>$585</w:t>
            </w:r>
          </w:p>
          <w:p>
            <w:pPr>
              <w:spacing w:after="0" w:line="259" w:lineRule="auto"/>
            </w:pPr>
            <w:r>
              <w:rPr>
                <w:rFonts w:ascii="Aptos" w:hAnsi="Aptos"/>
                <w:b w:val="0"/>
                <w:color w:val="D8E7F2"/>
                <w:sz w:val="15"/>
              </w:rPr>
              <w:t>Subject to eligibility</w:t>
            </w:r>
          </w:p>
        </w:tc>
      </w:tr>
    </w:tbl>
    <w:p>
      <w:pPr>
        <w:keepNext/>
        <w:spacing w:before="200" w:after="120"/>
      </w:pPr>
      <w:r>
        <w:rPr>
          <w:rFonts w:ascii="Aptos" w:hAnsi="Aptos"/>
          <w:b/>
          <w:color w:val="10284B"/>
          <w:sz w:val="30"/>
        </w:rPr>
        <w:t>Funding support and benefits</w:t>
      </w:r>
    </w:p>
    <w:tbl>
      <w:tblPr>
        <w:tblW w:type="auto" w:w="0"/>
        <w:tblLook w:firstColumn="1" w:firstRow="1" w:lastColumn="0" w:lastRow="0" w:noHBand="0" w:noVBand="1" w:val="04A0"/>
        <w:tblBorders>
          <w:top w:val="nil"/>
          <w:left w:val="nil"/>
          <w:bottom w:val="nil"/>
          <w:right w:val="nil"/>
          <w:insideH w:val="nil"/>
          <w:insideV w:val="nil"/>
        </w:tblBorders>
      </w:tblPr>
      <w:tblGrid>
        <w:gridCol w:w="10065"/>
      </w:tblGrid>
      <w:tr>
        <w:tc>
          <w:tcPr>
            <w:tcW w:type="dxa" w:w="10065"/>
            <w:shd w:fill="10284B"/>
            <w:tcMar>
              <w:top w:w="105" w:type="dxa"/>
              <w:start w:w="150" w:type="dxa"/>
              <w:bottom w:w="105" w:type="dxa"/>
              <w:end w:w="150" w:type="dxa"/>
            </w:tcMar>
          </w:tcPr>
          <w:p>
            <w:pPr>
              <w:spacing w:after="40" w:line="259" w:lineRule="auto"/>
            </w:pPr>
            <w:r>
              <w:rPr>
                <w:rFonts w:ascii="Aptos" w:hAnsi="Aptos"/>
                <w:b/>
                <w:color w:val="F4B544"/>
                <w:sz w:val="16"/>
              </w:rPr>
              <w:t>MAKE TRAINING MORE AFFORDABLE</w:t>
            </w:r>
          </w:p>
          <w:p>
            <w:pPr>
              <w:spacing w:after="0" w:line="259" w:lineRule="auto"/>
            </w:pPr>
            <w:r>
              <w:rPr>
                <w:rFonts w:ascii="Aptos" w:hAnsi="Aptos"/>
                <w:b/>
                <w:color w:val="FFFFFF"/>
                <w:sz w:val="22"/>
              </w:rPr>
              <w:t>Verified support options for this course</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355"/>
        <w:gridCol w:w="3355"/>
        <w:gridCol w:w="3355"/>
      </w:tblGrid>
      <w:tr>
        <w:tc>
          <w:tcPr>
            <w:tcW w:type="dxa" w:w="3355"/>
            <w:tcMar>
              <w:top w:w="105" w:type="dxa"/>
              <w:start w:w="105" w:type="dxa"/>
              <w:bottom w:w="100" w:type="dxa"/>
              <w:end w:w="105" w:type="dxa"/>
            </w:tcMar>
            <w:shd w:fill="ECF7FA"/>
          </w:tcPr>
          <w:p>
            <w:pPr>
              <w:spacing w:after="60" w:line="259" w:lineRule="auto"/>
            </w:pPr>
            <w:r>
              <w:rPr>
                <w:rFonts w:ascii="Aptos" w:hAnsi="Aptos"/>
                <w:b/>
                <w:color w:val="15498C"/>
                <w:sz w:val="17"/>
              </w:rPr>
              <w:t>✓  SkillsFuture Credit</w:t>
            </w:r>
          </w:p>
          <w:p>
            <w:pPr>
              <w:spacing w:after="0" w:line="259" w:lineRule="auto"/>
            </w:pPr>
            <w:r>
              <w:rPr>
                <w:rFonts w:ascii="Aptos" w:hAnsi="Aptos"/>
                <w:b w:val="0"/>
                <w:color w:val="5B6D81"/>
                <w:sz w:val="14"/>
              </w:rPr>
              <w:t>Use available credit, subject to eligibility</w:t>
            </w:r>
          </w:p>
        </w:tc>
        <w:tc>
          <w:tcPr>
            <w:tcW w:type="dxa" w:w="3355"/>
            <w:tcMar>
              <w:top w:w="105" w:type="dxa"/>
              <w:start w:w="105" w:type="dxa"/>
              <w:bottom w:w="100" w:type="dxa"/>
              <w:end w:w="105" w:type="dxa"/>
            </w:tcMar>
            <w:shd w:fill="ECF7FA"/>
          </w:tcPr>
          <w:p>
            <w:pPr>
              <w:spacing w:after="60" w:line="259" w:lineRule="auto"/>
            </w:pPr>
            <w:r>
              <w:rPr>
                <w:rFonts w:ascii="Aptos" w:hAnsi="Aptos"/>
                <w:b/>
                <w:color w:val="15498C"/>
                <w:sz w:val="17"/>
              </w:rPr>
              <w:t>✓  PSEA</w:t>
            </w:r>
          </w:p>
          <w:p>
            <w:pPr>
              <w:spacing w:after="0" w:line="259" w:lineRule="auto"/>
            </w:pPr>
            <w:r>
              <w:rPr>
                <w:rFonts w:ascii="Aptos" w:hAnsi="Aptos"/>
                <w:b w:val="0"/>
                <w:color w:val="5B6D81"/>
                <w:sz w:val="14"/>
              </w:rPr>
              <w:t>Eligible learners may use PSEA</w:t>
            </w:r>
          </w:p>
        </w:tc>
        <w:tc>
          <w:tcPr>
            <w:tcW w:type="dxa" w:w="3355"/>
            <w:tcMar>
              <w:top w:w="105" w:type="dxa"/>
              <w:start w:w="105" w:type="dxa"/>
              <w:bottom w:w="100" w:type="dxa"/>
              <w:end w:w="105" w:type="dxa"/>
            </w:tcMar>
            <w:shd w:fill="ECF7FA"/>
          </w:tcPr>
          <w:p>
            <w:pPr>
              <w:spacing w:after="60" w:line="259" w:lineRule="auto"/>
            </w:pPr>
            <w:r>
              <w:rPr>
                <w:rFonts w:ascii="Aptos" w:hAnsi="Aptos"/>
                <w:b/>
                <w:color w:val="15498C"/>
                <w:sz w:val="17"/>
              </w:rPr>
              <w:t>✓  SFEC</w:t>
            </w:r>
          </w:p>
          <w:p>
            <w:pPr>
              <w:spacing w:after="0" w:line="259" w:lineRule="auto"/>
            </w:pPr>
            <w:r>
              <w:rPr>
                <w:rFonts w:ascii="Aptos" w:hAnsi="Aptos"/>
                <w:b w:val="0"/>
                <w:color w:val="5B6D81"/>
                <w:sz w:val="14"/>
              </w:rPr>
              <w:t>Employer support, subject to eligibility</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355"/>
        <w:gridCol w:w="3355"/>
        <w:gridCol w:w="3355"/>
      </w:tblGrid>
      <w:tr>
        <w:tc>
          <w:tcPr>
            <w:tcW w:type="dxa" w:w="3355"/>
            <w:tcMar>
              <w:top w:w="105" w:type="dxa"/>
              <w:start w:w="105" w:type="dxa"/>
              <w:bottom w:w="100" w:type="dxa"/>
              <w:end w:w="105" w:type="dxa"/>
            </w:tcMar>
            <w:shd w:fill="ECF7FA"/>
          </w:tcPr>
          <w:p>
            <w:pPr>
              <w:spacing w:after="60" w:line="259" w:lineRule="auto"/>
            </w:pPr>
            <w:r>
              <w:rPr>
                <w:rFonts w:ascii="Aptos" w:hAnsi="Aptos"/>
                <w:b/>
                <w:color w:val="15498C"/>
                <w:sz w:val="17"/>
              </w:rPr>
              <w:t>✓  Absentee Payroll</w:t>
            </w:r>
          </w:p>
          <w:p>
            <w:pPr>
              <w:spacing w:after="0" w:line="259" w:lineRule="auto"/>
            </w:pPr>
            <w:r>
              <w:rPr>
                <w:rFonts w:ascii="Aptos" w:hAnsi="Aptos"/>
                <w:b w:val="0"/>
                <w:color w:val="5B6D81"/>
                <w:sz w:val="14"/>
              </w:rPr>
              <w:t>Employer support, subject to eligibility</w:t>
            </w:r>
          </w:p>
        </w:tc>
        <w:tc>
          <w:tcPr>
            <w:tcW w:type="dxa" w:w="3355"/>
            <w:tcMar>
              <w:top w:w="105" w:type="dxa"/>
              <w:start w:w="105" w:type="dxa"/>
              <w:bottom w:w="100" w:type="dxa"/>
              <w:end w:w="105" w:type="dxa"/>
            </w:tcMar>
            <w:shd w:fill="ECF7FA"/>
          </w:tcPr>
          <w:p>
            <w:pPr>
              <w:spacing w:after="60" w:line="259" w:lineRule="auto"/>
            </w:pPr>
            <w:r>
              <w:rPr>
                <w:rFonts w:ascii="Aptos" w:hAnsi="Aptos"/>
                <w:b/>
                <w:color w:val="15498C"/>
                <w:sz w:val="17"/>
              </w:rPr>
              <w:t>✓  MCES</w:t>
            </w:r>
          </w:p>
          <w:p>
            <w:pPr>
              <w:spacing w:after="0" w:line="259" w:lineRule="auto"/>
            </w:pPr>
            <w:r>
              <w:rPr>
                <w:rFonts w:ascii="Aptos" w:hAnsi="Aptos"/>
                <w:b w:val="0"/>
                <w:color w:val="5B6D81"/>
                <w:sz w:val="14"/>
              </w:rPr>
              <w:t>Enhanced funding, subject to eligibility</w:t>
            </w:r>
          </w:p>
        </w:tc>
        <w:tc>
          <w:tcPr>
            <w:tcW w:type="dxa" w:w="3355"/>
            <w:tcMar>
              <w:top w:w="105" w:type="dxa"/>
              <w:start w:w="105" w:type="dxa"/>
              <w:bottom w:w="100" w:type="dxa"/>
              <w:end w:w="105" w:type="dxa"/>
            </w:tcMar>
            <w:shd w:fill="FFFFFF"/>
          </w:tcP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920"/>
        <w:gridCol w:w="2016"/>
      </w:tblGrid>
      <w:tr>
        <w:tc>
          <w:tcPr>
            <w:tcW w:type="dxa" w:w="5032"/>
            <w:shd w:fill="ECF7FA"/>
            <w:tcMar>
              <w:top w:w="145" w:type="dxa"/>
              <w:start w:w="170" w:type="dxa"/>
              <w:bottom w:w="145" w:type="dxa"/>
              <w:end w:w="170" w:type="dxa"/>
            </w:tcMar>
          </w:tcPr>
          <w:p>
            <w:pPr>
              <w:spacing w:after="100" w:line="259" w:lineRule="auto"/>
            </w:pPr>
            <w:r>
              <w:rPr>
                <w:rFonts w:ascii="Aptos" w:hAnsi="Aptos"/>
                <w:b/>
                <w:color w:val="10284B"/>
                <w:sz w:val="22"/>
              </w:rPr>
              <w:t>Explore dates and register</w:t>
            </w:r>
          </w:p>
          <w:p>
            <w:pPr>
              <w:spacing w:after="100" w:line="259" w:lineRule="auto"/>
            </w:pPr>
            <w:r>
              <w:rPr>
                <w:rFonts w:ascii="Aptos" w:hAnsi="Aptos"/>
                <w:b w:val="0"/>
                <w:color w:val="5B6D81"/>
                <w:sz w:val="16"/>
              </w:rPr>
              <w:t>Scan the QR code or use the link to view current dates and register.</w:t>
            </w:r>
          </w:p>
          <w:p>
            <w:pPr>
              <w:spacing w:after="0"/>
            </w:pPr>
            <w:hyperlink r:id="rId11">
              <w:r>
                <w:rPr>
                  <w:color w:val="15498C"/>
                  <w:u w:val="single"/>
                </w:rPr>
                <w:t>www.tertiarycourses.com.sg/wsq-ai-transformation-with-microsoft-copilot.html</w:t>
              </w:r>
            </w:hyperlink>
          </w:p>
        </w:tc>
        <w:tc>
          <w:tcPr>
            <w:tcW w:type="dxa" w:w="5032"/>
            <w:shd w:fill="FFFFFF"/>
            <w:tcMar>
              <w:top w:w="70" w:type="dxa"/>
              <w:start w:w="75" w:type="dxa"/>
              <w:bottom w:w="55" w:type="dxa"/>
              <w:end w:w="75" w:type="dxa"/>
            </w:tcMar>
          </w:tcPr>
          <w:p>
            <w:pPr>
              <w:jc w:val="center"/>
            </w:pPr>
            <w:r>
              <w:drawing>
                <wp:inline xmlns:a="http://schemas.openxmlformats.org/drawingml/2006/main" xmlns:pic="http://schemas.openxmlformats.org/drawingml/2006/picture">
                  <wp:extent cx="1005840" cy="10058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05840" cy="1005840"/>
                          </a:xfrm>
                          <a:prstGeom prst="rect"/>
                        </pic:spPr>
                      </pic:pic>
                    </a:graphicData>
                  </a:graphic>
                </wp:inline>
              </w:drawing>
            </w:r>
          </w:p>
          <w:p>
            <w:pPr>
              <w:spacing w:after="0"/>
              <w:jc w:val="center"/>
            </w:pPr>
            <w:r>
              <w:rPr>
                <w:rFonts w:ascii="Aptos" w:hAnsi="Aptos"/>
                <w:b/>
                <w:color w:val="15498C"/>
                <w:sz w:val="13"/>
              </w:rPr>
              <w:t>SCAN TO REGISTER</w:t>
            </w:r>
          </w:p>
        </w:tc>
      </w:tr>
    </w:tbl>
    <w:p>
      <w:r>
        <w:br w:type="page"/>
      </w:r>
    </w:p>
    <w:p>
      <w:pPr>
        <w:keepNext/>
        <w:spacing w:before="200" w:after="120"/>
      </w:pPr>
      <w:r>
        <w:rPr>
          <w:rFonts w:ascii="Aptos" w:hAnsi="Aptos"/>
          <w:b/>
          <w:color w:val="10284B"/>
          <w:sz w:val="36"/>
        </w:rPr>
        <w:t>Course description</w:t>
      </w:r>
    </w:p>
    <w:p>
      <w:pPr>
        <w:spacing w:before="0" w:after="140" w:line="288" w:lineRule="auto"/>
      </w:pPr>
      <w:r>
        <w:rPr>
          <w:rFonts w:ascii="Aptos" w:hAnsi="Aptos"/>
          <w:b w:val="0"/>
          <w:color w:val="17263B"/>
          <w:sz w:val="18"/>
        </w:rPr>
        <w:t>AI Transformation with Microsoft Copilot is a three-day WSQ course for executives and senior managers. Participants use Microsoft 365 Copilot in Chat, Word, PowerPoint, Outlook, Teams and Excel to prepare strategic briefs, compare options, coordinate decisions and analyse business value. A synthetic organisation case lets them practise data-use boundaries, human approval, adoption leadership and evidence-based investment decisions. The course draws on the business-use themes of Microsoft AI Business Professional (AB-730) and the strategic planning themes of AB-100; it is not an exam-preparation course and does not require coding or agent development.</w:t>
      </w:r>
    </w:p>
    <w:p>
      <w:pPr>
        <w:keepNext/>
        <w:spacing w:before="200" w:after="120"/>
      </w:pPr>
      <w:r>
        <w:rPr>
          <w:rFonts w:ascii="Aptos" w:hAnsi="Aptos"/>
          <w:b/>
          <w:color w:val="10284B"/>
          <w:sz w:val="36"/>
        </w:rPr>
        <w:t>Course topics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4"/>
        <w:gridCol w:w="9072"/>
      </w:tblGrid>
      <w:tr>
        <w:tc>
          <w:tcPr>
            <w:tcW w:type="dxa" w:w="5032"/>
            <w:shd w:fill="15498C"/>
            <w:tcMar>
              <w:top w:w="110" w:type="dxa"/>
              <w:start w:w="110" w:type="dxa"/>
              <w:bottom w:w="100" w:type="dxa"/>
              <w:end w:w="80" w:type="dxa"/>
            </w:tcMar>
          </w:tcPr>
          <w:p>
            <w:pPr>
              <w:spacing w:after="0" w:line="259" w:lineRule="auto"/>
            </w:pPr>
            <w:r>
              <w:rPr>
                <w:rFonts w:ascii="Aptos" w:hAnsi="Aptos"/>
                <w:b/>
                <w:color w:val="FFFFFF"/>
                <w:sz w:val="22"/>
              </w:rPr>
              <w:t>01</w:t>
            </w:r>
          </w:p>
        </w:tc>
        <w:tc>
          <w:tcPr>
            <w:tcW w:type="dxa" w:w="5032"/>
            <w:shd w:fill="F3F6FA"/>
            <w:tcMar>
              <w:top w:w="95" w:type="dxa"/>
              <w:start w:w="140" w:type="dxa"/>
              <w:bottom w:w="95" w:type="dxa"/>
              <w:end w:w="140" w:type="dxa"/>
            </w:tcMar>
          </w:tcPr>
          <w:p>
            <w:pPr>
              <w:spacing w:after="60" w:line="259" w:lineRule="auto"/>
            </w:pPr>
            <w:r>
              <w:rPr>
                <w:rFonts w:ascii="Aptos" w:hAnsi="Aptos"/>
                <w:b/>
                <w:color w:val="10284B"/>
                <w:sz w:val="20"/>
              </w:rPr>
              <w:t>Topic 1: Set the Copilot Transformation Strategy and Lead by Example</w:t>
            </w:r>
          </w:p>
          <w:p>
            <w:pPr>
              <w:spacing w:after="0" w:line="259" w:lineRule="auto"/>
            </w:pPr>
            <w:r>
              <w:rPr>
                <w:rFonts w:ascii="Aptos" w:hAnsi="Aptos"/>
                <w:b w:val="0"/>
                <w:color w:val="5B6D81"/>
                <w:sz w:val="16"/>
              </w:rPr>
              <w:t>Transformation ambition • Value pool map • Executive sponsor • Stakeholder alignment • Success definition • Copilot Chat briefing • Question refinement • Source challenge • Scenario comparison • Executive follow-up • Word strategy memo • Recommendation logic • PowerPoint board story • Decision appendix • Leadership communication</w:t>
            </w: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4"/>
        <w:gridCol w:w="9072"/>
      </w:tblGrid>
      <w:tr>
        <w:tc>
          <w:tcPr>
            <w:tcW w:type="dxa" w:w="5032"/>
            <w:shd w:fill="15498C"/>
            <w:tcMar>
              <w:top w:w="110" w:type="dxa"/>
              <w:start w:w="110" w:type="dxa"/>
              <w:bottom w:w="100" w:type="dxa"/>
              <w:end w:w="80" w:type="dxa"/>
            </w:tcMar>
          </w:tcPr>
          <w:p>
            <w:pPr>
              <w:spacing w:after="0" w:line="259" w:lineRule="auto"/>
            </w:pPr>
            <w:r>
              <w:rPr>
                <w:rFonts w:ascii="Aptos" w:hAnsi="Aptos"/>
                <w:b/>
                <w:color w:val="FFFFFF"/>
                <w:sz w:val="22"/>
              </w:rPr>
              <w:t>02</w:t>
            </w:r>
          </w:p>
        </w:tc>
        <w:tc>
          <w:tcPr>
            <w:tcW w:type="dxa" w:w="5032"/>
            <w:shd w:fill="F3F6FA"/>
            <w:tcMar>
              <w:top w:w="95" w:type="dxa"/>
              <w:start w:w="140" w:type="dxa"/>
              <w:bottom w:w="95" w:type="dxa"/>
              <w:end w:w="140" w:type="dxa"/>
            </w:tcMar>
          </w:tcPr>
          <w:p>
            <w:pPr>
              <w:spacing w:after="60" w:line="259" w:lineRule="auto"/>
            </w:pPr>
            <w:r>
              <w:rPr>
                <w:rFonts w:ascii="Aptos" w:hAnsi="Aptos"/>
                <w:b/>
                <w:color w:val="10284B"/>
                <w:sz w:val="20"/>
              </w:rPr>
              <w:t>Topic 2: Govern Copilot Use and Protect Business Decisions</w:t>
            </w:r>
          </w:p>
          <w:p>
            <w:pPr>
              <w:spacing w:after="0" w:line="259" w:lineRule="auto"/>
            </w:pPr>
            <w:r>
              <w:rPr>
                <w:rFonts w:ascii="Aptos" w:hAnsi="Aptos"/>
                <w:b w:val="0"/>
                <w:color w:val="5B6D81"/>
                <w:sz w:val="16"/>
              </w:rPr>
              <w:t>Information boundary • Permission reality • Source reliability • Human approval • Responsible-use rule • Risk appetite • Incident response • Quality challenge • Policy ownership • Board assurance</w:t>
            </w: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4"/>
        <w:gridCol w:w="9072"/>
      </w:tblGrid>
      <w:tr>
        <w:tc>
          <w:tcPr>
            <w:tcW w:type="dxa" w:w="5032"/>
            <w:shd w:fill="15498C"/>
            <w:tcMar>
              <w:top w:w="110" w:type="dxa"/>
              <w:start w:w="110" w:type="dxa"/>
              <w:bottom w:w="100" w:type="dxa"/>
              <w:end w:w="80" w:type="dxa"/>
            </w:tcMar>
          </w:tcPr>
          <w:p>
            <w:pPr>
              <w:spacing w:after="0" w:line="259" w:lineRule="auto"/>
            </w:pPr>
            <w:r>
              <w:rPr>
                <w:rFonts w:ascii="Aptos" w:hAnsi="Aptos"/>
                <w:b/>
                <w:color w:val="FFFFFF"/>
                <w:sz w:val="22"/>
              </w:rPr>
              <w:t>03</w:t>
            </w:r>
          </w:p>
        </w:tc>
        <w:tc>
          <w:tcPr>
            <w:tcW w:type="dxa" w:w="5032"/>
            <w:shd w:fill="F3F6FA"/>
            <w:tcMar>
              <w:top w:w="95" w:type="dxa"/>
              <w:start w:w="140" w:type="dxa"/>
              <w:bottom w:w="95" w:type="dxa"/>
              <w:end w:w="140" w:type="dxa"/>
            </w:tcMar>
          </w:tcPr>
          <w:p>
            <w:pPr>
              <w:spacing w:after="60" w:line="259" w:lineRule="auto"/>
            </w:pPr>
            <w:r>
              <w:rPr>
                <w:rFonts w:ascii="Aptos" w:hAnsi="Aptos"/>
                <w:b/>
                <w:color w:val="10284B"/>
                <w:sz w:val="20"/>
              </w:rPr>
              <w:t>Topic 3: Integrate Copilot into the Executive Operating Model</w:t>
            </w:r>
          </w:p>
          <w:p>
            <w:pPr>
              <w:spacing w:after="0" w:line="259" w:lineRule="auto"/>
            </w:pPr>
            <w:r>
              <w:rPr>
                <w:rFonts w:ascii="Aptos" w:hAnsi="Aptos"/>
                <w:b w:val="0"/>
                <w:color w:val="5B6D81"/>
                <w:sz w:val="16"/>
              </w:rPr>
              <w:t>Executive meeting • Outlook decision flow • Cross-functional handoff • Copilot integration choice • Agent opportunity • Vendor and partner review • Pilot operating model • Leadership role modelling • Change communication • Decision escalation</w:t>
            </w: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864"/>
        <w:gridCol w:w="9072"/>
      </w:tblGrid>
      <w:tr>
        <w:tc>
          <w:tcPr>
            <w:tcW w:type="dxa" w:w="5032"/>
            <w:shd w:fill="15498C"/>
            <w:tcMar>
              <w:top w:w="110" w:type="dxa"/>
              <w:start w:w="110" w:type="dxa"/>
              <w:bottom w:w="100" w:type="dxa"/>
              <w:end w:w="80" w:type="dxa"/>
            </w:tcMar>
          </w:tcPr>
          <w:p>
            <w:pPr>
              <w:spacing w:after="0" w:line="259" w:lineRule="auto"/>
            </w:pPr>
            <w:r>
              <w:rPr>
                <w:rFonts w:ascii="Aptos" w:hAnsi="Aptos"/>
                <w:b/>
                <w:color w:val="FFFFFF"/>
                <w:sz w:val="22"/>
              </w:rPr>
              <w:t>04</w:t>
            </w:r>
          </w:p>
        </w:tc>
        <w:tc>
          <w:tcPr>
            <w:tcW w:type="dxa" w:w="5032"/>
            <w:shd w:fill="F3F6FA"/>
            <w:tcMar>
              <w:top w:w="95" w:type="dxa"/>
              <w:start w:w="140" w:type="dxa"/>
              <w:bottom w:w="95" w:type="dxa"/>
              <w:end w:w="140" w:type="dxa"/>
            </w:tcMar>
          </w:tcPr>
          <w:p>
            <w:pPr>
              <w:spacing w:after="60" w:line="259" w:lineRule="auto"/>
            </w:pPr>
            <w:r>
              <w:rPr>
                <w:rFonts w:ascii="Aptos" w:hAnsi="Aptos"/>
                <w:b/>
                <w:color w:val="10284B"/>
                <w:sz w:val="20"/>
              </w:rPr>
              <w:t>Topic 4: Measure Value, Scale Adoption and Report to the Board</w:t>
            </w:r>
          </w:p>
          <w:p>
            <w:pPr>
              <w:spacing w:after="0" w:line="259" w:lineRule="auto"/>
            </w:pPr>
            <w:r>
              <w:rPr>
                <w:rFonts w:ascii="Aptos" w:hAnsi="Aptos"/>
                <w:b w:val="0"/>
                <w:color w:val="5B6D81"/>
                <w:sz w:val="16"/>
              </w:rPr>
              <w:t>Use-case portfolio • Adoption baseline • Enablement design • Feedback loop • Scale gate • Excel value model • Benefit confidence • Cost of ownership • Sensitivity test • Investment decision • Quality scorecard • Customer outcome • Board reporting • Next-quarter roadmap • Executive decision rehearsal</w:t>
            </w:r>
          </w:p>
        </w:tc>
      </w:tr>
    </w:tbl>
    <w:p>
      <w:pPr>
        <w:spacing w:after="20"/>
      </w:pPr>
    </w:p>
    <w:p>
      <w:pPr>
        <w:keepNext/>
        <w:spacing w:before="200" w:after="120"/>
      </w:pPr>
      <w:r>
        <w:rPr>
          <w:rFonts w:ascii="Aptos" w:hAnsi="Aptos"/>
          <w:b/>
          <w:color w:val="10284B"/>
          <w:sz w:val="28"/>
        </w:rPr>
        <w:t>Learning outcomes</w:t>
      </w:r>
    </w:p>
    <w:p>
      <w:pPr>
        <w:spacing w:after="80"/>
        <w:ind w:left="360" w:hanging="360"/>
      </w:pPr>
      <w:r>
        <w:rPr>
          <w:rFonts w:ascii="Aptos" w:hAnsi="Aptos"/>
          <w:b/>
          <w:color w:val="15498C"/>
          <w:sz w:val="17"/>
        </w:rPr>
        <w:t xml:space="preserve">LO1  </w:t>
      </w:r>
      <w:r>
        <w:rPr>
          <w:rFonts w:ascii="Aptos" w:hAnsi="Aptos"/>
          <w:b w:val="0"/>
          <w:color w:val="17263B"/>
          <w:sz w:val="17"/>
        </w:rPr>
        <w:t>Develop technology implementation plans and business processes for Microsoft Copilot.</w:t>
      </w:r>
    </w:p>
    <w:p>
      <w:pPr>
        <w:spacing w:after="80"/>
        <w:ind w:left="360" w:hanging="360"/>
      </w:pPr>
      <w:r>
        <w:rPr>
          <w:rFonts w:ascii="Aptos" w:hAnsi="Aptos"/>
          <w:b/>
          <w:color w:val="15498C"/>
          <w:sz w:val="17"/>
        </w:rPr>
        <w:t xml:space="preserve">LO2  </w:t>
      </w:r>
      <w:r>
        <w:rPr>
          <w:rFonts w:ascii="Aptos" w:hAnsi="Aptos"/>
          <w:b w:val="0"/>
          <w:color w:val="17263B"/>
          <w:sz w:val="17"/>
        </w:rPr>
        <w:t>Develop control procedures for Microsoft Copilot to manage security.</w:t>
      </w:r>
    </w:p>
    <w:p>
      <w:pPr>
        <w:spacing w:after="80"/>
        <w:ind w:left="360" w:hanging="360"/>
      </w:pPr>
      <w:r>
        <w:rPr>
          <w:rFonts w:ascii="Aptos" w:hAnsi="Aptos"/>
          <w:b/>
          <w:color w:val="15498C"/>
          <w:sz w:val="17"/>
        </w:rPr>
        <w:t xml:space="preserve">LO3  </w:t>
      </w:r>
      <w:r>
        <w:rPr>
          <w:rFonts w:ascii="Aptos" w:hAnsi="Aptos"/>
          <w:b w:val="0"/>
          <w:color w:val="17263B"/>
          <w:sz w:val="17"/>
        </w:rPr>
        <w:t>Evaluate the integration of Microsoft Copilot to ensure alignment with business objectives.</w:t>
      </w:r>
    </w:p>
    <w:p>
      <w:pPr>
        <w:spacing w:after="80"/>
        <w:ind w:left="360" w:hanging="360"/>
      </w:pPr>
      <w:r>
        <w:rPr>
          <w:rFonts w:ascii="Aptos" w:hAnsi="Aptos"/>
          <w:b/>
          <w:color w:val="15498C"/>
          <w:sz w:val="17"/>
        </w:rPr>
        <w:t xml:space="preserve">LO4  </w:t>
      </w:r>
      <w:r>
        <w:rPr>
          <w:rFonts w:ascii="Aptos" w:hAnsi="Aptos"/>
          <w:b w:val="0"/>
          <w:color w:val="17263B"/>
          <w:sz w:val="17"/>
        </w:rPr>
        <w:t>Develop optimization plans for Microsoft Copilot to improve business operations.</w:t>
      </w:r>
    </w:p>
    <w:p>
      <w:r>
        <w:br w:type="page"/>
      </w:r>
    </w:p>
    <w:p>
      <w:pPr>
        <w:keepNext/>
        <w:spacing w:before="200" w:after="120"/>
      </w:pPr>
      <w:r>
        <w:rPr>
          <w:rFonts w:ascii="Aptos" w:hAnsi="Aptos"/>
          <w:b/>
          <w:color w:val="10284B"/>
          <w:sz w:val="36"/>
        </w:rPr>
        <w:t>Fees and course details</w:t>
      </w:r>
    </w:p>
    <w:p>
      <w:pPr>
        <w:spacing w:before="0" w:after="180" w:line="288" w:lineRule="auto"/>
      </w:pPr>
      <w:r>
        <w:rPr>
          <w:rFonts w:ascii="Aptos" w:hAnsi="Aptos"/>
          <w:b w:val="0"/>
          <w:color w:val="17263B"/>
          <w:sz w:val="19"/>
        </w:rPr>
        <w:t>Published fee: $1,500 before GST. GST: $135. Total: $1,635 after GST.</w:t>
      </w:r>
    </w:p>
    <w:tbl>
      <w:tblPr>
        <w:tblW w:type="auto" w:w="0"/>
        <w:jc w:val="center"/>
        <w:tblLayout w:type="fixed"/>
        <w:tblLook w:firstColumn="1" w:firstRow="1" w:lastColumn="0" w:lastRow="0" w:noHBand="0" w:noVBand="1" w:val="04A0"/>
      </w:tblPr>
      <w:tblGrid>
        <w:gridCol w:w="2516"/>
        <w:gridCol w:w="2516"/>
        <w:gridCol w:w="2516"/>
        <w:gridCol w:w="2516"/>
      </w:tblGrid>
      <w:tr>
        <w:tc>
          <w:tcPr>
            <w:tcW w:type="dxa" w:w="2516"/>
            <w:shd w:fill="10284B"/>
            <w:tcMar>
              <w:top w:w="95" w:type="dxa"/>
              <w:start w:w="85" w:type="dxa"/>
              <w:bottom w:w="95"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FFFFFF"/>
                <w:sz w:val="15"/>
              </w:rPr>
              <w:t>Scenario</w:t>
            </w:r>
          </w:p>
        </w:tc>
        <w:tc>
          <w:tcPr>
            <w:tcW w:type="dxa" w:w="2516"/>
            <w:shd w:fill="10284B"/>
            <w:tcMar>
              <w:top w:w="95" w:type="dxa"/>
              <w:start w:w="85" w:type="dxa"/>
              <w:bottom w:w="95"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FFFFFF"/>
                <w:sz w:val="15"/>
              </w:rPr>
              <w:t>Funding</w:t>
            </w:r>
          </w:p>
        </w:tc>
        <w:tc>
          <w:tcPr>
            <w:tcW w:type="dxa" w:w="2516"/>
            <w:shd w:fill="10284B"/>
            <w:tcMar>
              <w:top w:w="95" w:type="dxa"/>
              <w:start w:w="85" w:type="dxa"/>
              <w:bottom w:w="95"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FFFFFF"/>
                <w:sz w:val="15"/>
              </w:rPr>
              <w:t>Before GST</w:t>
            </w:r>
          </w:p>
        </w:tc>
        <w:tc>
          <w:tcPr>
            <w:tcW w:type="dxa" w:w="2516"/>
            <w:shd w:fill="10284B"/>
            <w:tcMar>
              <w:top w:w="95" w:type="dxa"/>
              <w:start w:w="85" w:type="dxa"/>
              <w:bottom w:w="95"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FFFFFF"/>
                <w:sz w:val="15"/>
              </w:rPr>
              <w:t>After GST</w:t>
            </w:r>
          </w:p>
        </w:tc>
      </w:tr>
      <w:tr>
        <w:tc>
          <w:tcPr>
            <w:tcW w:type="dxa" w:w="2516"/>
            <w:shd w:fill="FFFFFF"/>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Baseline 50% funded</w:t>
            </w:r>
          </w:p>
        </w:tc>
        <w:tc>
          <w:tcPr>
            <w:tcW w:type="dxa" w:w="2516"/>
            <w:shd w:fill="FFFFFF"/>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$750</w:t>
            </w:r>
          </w:p>
        </w:tc>
        <w:tc>
          <w:tcPr>
            <w:tcW w:type="dxa" w:w="2516"/>
            <w:shd w:fill="FFFFFF"/>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$750</w:t>
            </w:r>
          </w:p>
        </w:tc>
        <w:tc>
          <w:tcPr>
            <w:tcW w:type="dxa" w:w="2516"/>
            <w:shd w:fill="FFFFFF"/>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10284B"/>
                <w:sz w:val="16"/>
              </w:rPr>
              <w:t>$885</w:t>
            </w:r>
          </w:p>
        </w:tc>
      </w:tr>
      <w:tr>
        <w:tc>
          <w:tcPr>
            <w:tcW w:type="dxa" w:w="2516"/>
            <w:shd w:fill="F3F6FA"/>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MCES / SME 70% funded</w:t>
            </w:r>
          </w:p>
        </w:tc>
        <w:tc>
          <w:tcPr>
            <w:tcW w:type="dxa" w:w="2516"/>
            <w:shd w:fill="F3F6FA"/>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$1,050</w:t>
            </w:r>
          </w:p>
        </w:tc>
        <w:tc>
          <w:tcPr>
            <w:tcW w:type="dxa" w:w="2516"/>
            <w:shd w:fill="F3F6FA"/>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val="0"/>
                <w:color w:val="17263B"/>
                <w:sz w:val="16"/>
              </w:rPr>
              <w:t>$450</w:t>
            </w:r>
          </w:p>
        </w:tc>
        <w:tc>
          <w:tcPr>
            <w:tcW w:type="dxa" w:w="2516"/>
            <w:shd w:fill="F3F6FA"/>
            <w:tcMar>
              <w:top w:w="90" w:type="dxa"/>
              <w:start w:w="85" w:type="dxa"/>
              <w:bottom w:w="90" w:type="dxa"/>
              <w:end w:w="85" w:type="dxa"/>
            </w:tcMar>
            <w:tcBorders>
              <w:top w:val="single" w:sz="5" w:color="D9E2EA"/>
              <w:left w:val="single" w:sz="5" w:color="D9E2EA"/>
              <w:bottom w:val="single" w:sz="5" w:color="D9E2EA"/>
              <w:right w:val="single" w:sz="5" w:color="D9E2EA"/>
            </w:tcBorders>
          </w:tcPr>
          <w:p>
            <w:pPr>
              <w:spacing w:after="0" w:line="259" w:lineRule="auto"/>
            </w:pPr>
            <w:r>
              <w:rPr>
                <w:rFonts w:ascii="Aptos" w:hAnsi="Aptos"/>
                <w:b/>
                <w:color w:val="10284B"/>
                <w:sz w:val="16"/>
              </w:rPr>
              <w:t>$585</w:t>
            </w:r>
          </w:p>
        </w:tc>
      </w:tr>
    </w:tbl>
    <w:p>
      <w:pPr>
        <w:spacing w:before="100" w:after="160" w:line="276" w:lineRule="auto"/>
      </w:pPr>
      <w:r>
        <w:rPr>
          <w:rFonts w:ascii="Aptos" w:hAnsi="Aptos"/>
          <w:b w:val="0"/>
          <w:color w:val="5B6D81"/>
          <w:sz w:val="15"/>
        </w:rPr>
        <w:t>Funding and final payable amounts are subject to eligibility and official approval. GST is shown separately from the course fee.</w:t>
      </w:r>
    </w:p>
    <w:p>
      <w:pPr>
        <w:spacing w:before="0" w:after="100" w:line="276" w:lineRule="auto"/>
      </w:pPr>
      <w:r>
        <w:rPr>
          <w:rFonts w:ascii="Aptos" w:hAnsi="Aptos"/>
          <w:b w:val="0"/>
          <w:color w:val="5B6D81"/>
          <w:sz w:val="16"/>
        </w:rPr>
        <w:t>Funding validity: 5 Apr 2024 to 4 Apr 2028</w:t>
      </w:r>
    </w:p>
    <w:p>
      <w:pPr>
        <w:keepNext/>
        <w:spacing w:before="200" w:after="120"/>
      </w:pPr>
      <w:r>
        <w:rPr>
          <w:rFonts w:ascii="Aptos" w:hAnsi="Aptos"/>
          <w:b/>
          <w:color w:val="10284B"/>
          <w:sz w:val="28"/>
        </w:rPr>
        <w:t>Eligible support and course benefits</w:t>
      </w:r>
    </w:p>
    <w:p>
      <w:pPr>
        <w:spacing w:before="0" w:after="80" w:line="276" w:lineRule="auto"/>
      </w:pPr>
      <w:r>
        <w:rPr>
          <w:rFonts w:ascii="Aptos" w:hAnsi="Aptos"/>
          <w:b/>
          <w:color w:val="15498C"/>
          <w:sz w:val="17"/>
        </w:rPr>
        <w:t xml:space="preserve">SkillsFuture Credit  </w:t>
      </w:r>
    </w:p>
    <w:p>
      <w:pPr>
        <w:spacing w:before="0" w:after="80" w:line="276" w:lineRule="auto"/>
      </w:pPr>
      <w:r>
        <w:rPr>
          <w:rFonts w:ascii="Aptos" w:hAnsi="Aptos"/>
          <w:b/>
          <w:color w:val="15498C"/>
          <w:sz w:val="17"/>
        </w:rPr>
        <w:t xml:space="preserve">PSEA  </w:t>
      </w:r>
    </w:p>
    <w:p>
      <w:pPr>
        <w:spacing w:before="0" w:after="80" w:line="276" w:lineRule="auto"/>
      </w:pPr>
      <w:r>
        <w:rPr>
          <w:rFonts w:ascii="Aptos" w:hAnsi="Aptos"/>
          <w:b/>
          <w:color w:val="15498C"/>
          <w:sz w:val="17"/>
        </w:rPr>
        <w:t xml:space="preserve">SFEC  </w:t>
      </w:r>
    </w:p>
    <w:p>
      <w:pPr>
        <w:spacing w:before="0" w:after="80" w:line="276" w:lineRule="auto"/>
      </w:pPr>
      <w:r>
        <w:rPr>
          <w:rFonts w:ascii="Aptos" w:hAnsi="Aptos"/>
          <w:b/>
          <w:color w:val="15498C"/>
          <w:sz w:val="17"/>
        </w:rPr>
        <w:t xml:space="preserve">Absentee Payroll  </w:t>
      </w:r>
    </w:p>
    <w:p>
      <w:pPr>
        <w:spacing w:before="0" w:after="80" w:line="276" w:lineRule="auto"/>
      </w:pPr>
      <w:r>
        <w:rPr>
          <w:rFonts w:ascii="Aptos" w:hAnsi="Aptos"/>
          <w:b/>
          <w:color w:val="15498C"/>
          <w:sz w:val="17"/>
        </w:rPr>
        <w:t xml:space="preserve">MCES  </w:t>
      </w:r>
    </w:p>
    <w:p>
      <w:pPr>
        <w:keepNext/>
        <w:spacing w:before="200" w:after="120"/>
      </w:pPr>
      <w:r>
        <w:rPr>
          <w:rFonts w:ascii="Aptos" w:hAnsi="Aptos"/>
          <w:b/>
          <w:color w:val="10284B"/>
          <w:sz w:val="28"/>
        </w:rPr>
        <w:t>Plan your attendance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088"/>
        <w:gridCol w:w="7920"/>
      </w:tblGrid>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Duration</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3 days</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Training and assessment</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24 hours including 2 hours of assessment</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Mode</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Physical classroom or synchronised Zoom; corporate training available</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Venue</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12 Woodlands Square #07-85/86/87, Woods Square Tower 1, Singapore 737715</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Schedule</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9:30am–6:30pm on scheduled training days</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Assessment</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Written assessment and practical performance assessment, one hour each, individual open book</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Who should attend</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C-suite executives, business unit leaders, directors and senior managers who sponsor or govern Microsoft Copilot adoption.</w:t>
            </w:r>
          </w:p>
        </w:tc>
      </w:tr>
      <w:tr>
        <w:tc>
          <w:tcPr>
            <w:tcW w:type="dxa" w:w="2088"/>
            <w:tcMar>
              <w:top w:w="70" w:type="dxa"/>
              <w:start w:w="90" w:type="dxa"/>
              <w:bottom w:w="70" w:type="dxa"/>
              <w:end w:w="90" w:type="dxa"/>
            </w:tcMar>
            <w:tcBorders>
              <w:top w:val="single" w:sz="5" w:color="E2EAF1"/>
              <w:left w:val="single" w:sz="5" w:color="E2EAF1"/>
              <w:bottom w:val="single" w:sz="5" w:color="E2EAF1"/>
              <w:right w:val="single" w:sz="5" w:color="E2EAF1"/>
            </w:tcBorders>
            <w:shd w:fill="F3F6FA"/>
          </w:tcPr>
          <w:p>
            <w:pPr>
              <w:spacing w:after="0" w:line="259" w:lineRule="auto"/>
            </w:pPr>
            <w:r>
              <w:rPr>
                <w:rFonts w:ascii="Aptos" w:hAnsi="Aptos"/>
                <w:b/>
                <w:color w:val="15498C"/>
                <w:sz w:val="16"/>
              </w:rPr>
              <w:t>Certification</w:t>
            </w:r>
          </w:p>
        </w:tc>
        <w:tc>
          <w:tcPr>
            <w:tcW w:type="dxa" w:w="7920"/>
            <w:tcMar>
              <w:top w:w="70" w:type="dxa"/>
              <w:start w:w="90" w:type="dxa"/>
              <w:bottom w:w="70" w:type="dxa"/>
              <w:end w:w="90" w:type="dxa"/>
            </w:tcMar>
            <w:tcBorders>
              <w:top w:val="single" w:sz="5" w:color="E2EAF1"/>
              <w:left w:val="single" w:sz="5" w:color="E2EAF1"/>
              <w:bottom w:val="single" w:sz="5" w:color="E2EAF1"/>
              <w:right w:val="single" w:sz="5" w:color="E2EAF1"/>
            </w:tcBorders>
          </w:tcPr>
          <w:p>
            <w:pPr>
              <w:spacing w:after="0" w:line="259" w:lineRule="auto"/>
            </w:pPr>
            <w:r>
              <w:rPr>
                <w:rFonts w:ascii="Aptos" w:hAnsi="Aptos"/>
                <w:b w:val="0"/>
                <w:color w:val="17263B"/>
                <w:sz w:val="16"/>
              </w:rPr>
              <w:t>Certificate of Achievement from Tertiary Infotech Academy and, on meeting WSQ assessment and attendance requirements, SkillsFuture Singapore Statement of Attainment via OpenCerts.</w:t>
            </w:r>
          </w:p>
        </w:tc>
      </w:tr>
    </w:tbl>
    <w:p>
      <w:pPr>
        <w:spacing w:after="2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920"/>
        <w:gridCol w:w="2016"/>
      </w:tblGrid>
      <w:tr>
        <w:tc>
          <w:tcPr>
            <w:tcW w:type="dxa" w:w="5032"/>
            <w:shd w:fill="ECF7FA"/>
            <w:tcMar>
              <w:top w:w="145" w:type="dxa"/>
              <w:start w:w="170" w:type="dxa"/>
              <w:bottom w:w="145" w:type="dxa"/>
              <w:end w:w="170" w:type="dxa"/>
            </w:tcMar>
          </w:tcPr>
          <w:p>
            <w:pPr>
              <w:spacing w:after="100" w:line="259" w:lineRule="auto"/>
            </w:pPr>
            <w:r>
              <w:rPr>
                <w:rFonts w:ascii="Aptos" w:hAnsi="Aptos"/>
                <w:b/>
                <w:color w:val="10284B"/>
                <w:sz w:val="22"/>
              </w:rPr>
              <w:t>Ready to build your next capability?</w:t>
            </w:r>
          </w:p>
          <w:p>
            <w:pPr>
              <w:spacing w:after="100" w:line="259" w:lineRule="auto"/>
            </w:pPr>
            <w:r>
              <w:rPr>
                <w:rFonts w:ascii="Aptos" w:hAnsi="Aptos"/>
                <w:b w:val="0"/>
                <w:color w:val="5B6D81"/>
                <w:sz w:val="16"/>
              </w:rPr>
              <w:t>Scan the QR code or use the link to view current dates and register.</w:t>
            </w:r>
          </w:p>
          <w:p>
            <w:pPr>
              <w:spacing w:after="0"/>
            </w:pPr>
            <w:hyperlink r:id="rId11">
              <w:r>
                <w:rPr>
                  <w:color w:val="15498C"/>
                  <w:u w:val="single"/>
                </w:rPr>
                <w:t>www.tertiarycourses.com.sg/wsq-ai-transformation-with-microsoft-copilot.html</w:t>
              </w:r>
            </w:hyperlink>
          </w:p>
        </w:tc>
        <w:tc>
          <w:tcPr>
            <w:tcW w:type="dxa" w:w="5032"/>
            <w:shd w:fill="FFFFFF"/>
            <w:tcMar>
              <w:top w:w="70" w:type="dxa"/>
              <w:start w:w="75" w:type="dxa"/>
              <w:bottom w:w="55" w:type="dxa"/>
              <w:end w:w="75" w:type="dxa"/>
            </w:tcMar>
          </w:tcPr>
          <w:p>
            <w:pPr>
              <w:jc w:val="center"/>
            </w:pPr>
            <w:r>
              <w:drawing>
                <wp:inline xmlns:a="http://schemas.openxmlformats.org/drawingml/2006/main" xmlns:pic="http://schemas.openxmlformats.org/drawingml/2006/picture">
                  <wp:extent cx="1005840" cy="100584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05840" cy="1005840"/>
                          </a:xfrm>
                          <a:prstGeom prst="rect"/>
                        </pic:spPr>
                      </pic:pic>
                    </a:graphicData>
                  </a:graphic>
                </wp:inline>
              </w:drawing>
            </w:r>
          </w:p>
          <w:p>
            <w:pPr>
              <w:spacing w:after="0"/>
              <w:jc w:val="center"/>
            </w:pPr>
            <w:r>
              <w:rPr>
                <w:rFonts w:ascii="Aptos" w:hAnsi="Aptos"/>
                <w:b/>
                <w:color w:val="15498C"/>
                <w:sz w:val="13"/>
              </w:rPr>
              <w:t>SCAN TO REGISTER</w:t>
            </w:r>
          </w:p>
        </w:tc>
      </w:tr>
    </w:tbl>
    <w:p>
      <w:pPr>
        <w:spacing w:before="0" w:after="0" w:line="276" w:lineRule="auto"/>
      </w:pPr>
      <w:r>
        <w:rPr>
          <w:rFonts w:ascii="Aptos" w:hAnsi="Aptos"/>
          <w:b w:val="0"/>
          <w:color w:val="5B6D81"/>
          <w:sz w:val="16"/>
        </w:rPr>
        <w:t>enquiry@tertiaryinfotech.com · +65 6100 0613</w:t>
      </w:r>
    </w:p>
    <w:sectPr w:rsidR="00FC693F" w:rsidRPr="0006063C" w:rsidSect="00034616">
      <w:footerReference w:type="default" r:id="rId9"/>
      <w:pgSz w:w="11909" w:h="16834"/>
      <w:pgMar w:top="792" w:right="922" w:bottom="792"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B6D81"/>
        <w:sz w:val="14"/>
      </w:rPr>
      <w:t xml:space="preserve">Tertiary Infotech Academy  |  TGS-2024044051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6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tertiarycourses.com.sg/wsq-ai-transformation-with-microsoft-copilot.html" TargetMode="External"/><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Transformation with Microsoft Copilot Course Brochure</dc:title>
  <dc:subject>TGS-2024044051 course description and fees</dc:subject>
  <dc:creator>Tertiary Infotech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