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der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554480" cy="5176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q-logo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51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AI Transformation with Microsoft Copilot</w:t>
      </w:r>
    </w:p>
    <w:p>
      <w:r>
        <w:t>Lesson Plan | TGS-2024044051 | v2.0 | 27 September 2026</w:t>
      </w:r>
    </w:p>
    <w:p>
      <w:r>
        <w:t>Conducted by Tertiary Infotech Academy Pte Ltd · UEN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Material changes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27 September 2026</w:t>
            </w:r>
          </w:p>
        </w:tc>
        <w:tc>
          <w:tcPr>
            <w:tcW w:type="dxa" w:w="2160"/>
          </w:tcPr>
          <w:p>
            <w:r>
              <w:t>Initial Copilot technical courseware release.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  <w:tr>
        <w:tc>
          <w:tcPr>
            <w:tcW w:type="dxa" w:w="2160"/>
          </w:tcPr>
          <w:p>
            <w:r>
              <w:t>v2.0</w:t>
            </w:r>
          </w:p>
        </w:tc>
        <w:tc>
          <w:tcPr>
            <w:tcW w:type="dxa" w:w="2160"/>
          </w:tcPr>
          <w:p>
            <w:r>
              <w:t>27 September 2026</w:t>
            </w:r>
          </w:p>
        </w:tc>
        <w:tc>
          <w:tcPr>
            <w:tcW w:type="dxa" w:w="2160"/>
          </w:tcPr>
          <w:p>
            <w:r>
              <w:t>Executive overhaul: direct Copilot use, strategic decisions, governance, adoption and measured outcomes.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Table of contents</w:t>
      </w:r>
    </w:p>
    <w:p>
      <w:pPr>
        <w:spacing w:after="0"/>
      </w:pPr>
      <w:r>
        <w:fldChar w:fldCharType="begin"/>
      </w:r>
      <w:r>
        <w:instrText xml:space="preserve">TOC \o "1-3" \h \z \u</w:instrText>
      </w:r>
      <w:r>
        <w:fldChar w:fldCharType="end"/>
      </w:r>
    </w:p>
    <w:p>
      <w:pPr>
        <w:ind w:left="288"/>
      </w:pPr>
      <w:hyperlink w:anchor="day1">
        <w:r>
          <w:rPr>
            <w:color w:val="1F6FEB"/>
          </w:rPr>
          <w:t>Day 1 · LO1  ........................................  3</w:t>
        </w:r>
      </w:hyperlink>
    </w:p>
    <w:p>
      <w:pPr>
        <w:ind w:left="288"/>
      </w:pPr>
      <w:hyperlink w:anchor="day2">
        <w:r>
          <w:rPr>
            <w:color w:val="1F6FEB"/>
          </w:rPr>
          <w:t>Day 2 · LO2  ........................................  3</w:t>
        </w:r>
      </w:hyperlink>
    </w:p>
    <w:p>
      <w:pPr>
        <w:ind w:left="288"/>
      </w:pPr>
      <w:hyperlink w:anchor="day3">
        <w:r>
          <w:rPr>
            <w:color w:val="1F6FEB"/>
          </w:rPr>
          <w:t>Day 3 · LO3 and LO4  ........................................  3</w:t>
        </w:r>
      </w:hyperlink>
    </w:p>
    <w:p>
      <w:pPr>
        <w:ind w:left="288"/>
      </w:pPr>
      <w:hyperlink w:anchor="moderation">
        <w:r>
          <w:rPr>
            <w:color w:val="1F6FEB"/>
          </w:rPr>
          <w:t>Assessment and moderation  ........................................  3</w:t>
        </w:r>
      </w:hyperlink>
    </w:p>
    <w:p>
      <w:pPr>
        <w:ind w:left="288"/>
      </w:pPr>
      <w:hyperlink w:anchor="outcomemap">
        <w:r>
          <w:rPr>
            <w:color w:val="1F6FEB"/>
          </w:rPr>
          <w:t>Outcome-to-evidence map  ........................................  4</w:t>
        </w:r>
      </w:hyperlink>
    </w:p>
    <w:p>
      <w:pPr>
        <w:pStyle w:val="Heading1"/>
      </w:pPr>
      <w:r>
        <w:t>Course learning outcomes</w:t>
      </w:r>
    </w:p>
    <w:p>
      <w:pPr>
        <w:pStyle w:val="ListBullet"/>
      </w:pPr>
      <w:r>
        <w:t>LO1. Develop technology implementation plans and business processes for Microsoft Copilot.</w:t>
      </w:r>
    </w:p>
    <w:p>
      <w:pPr>
        <w:pStyle w:val="ListBullet"/>
      </w:pPr>
      <w:r>
        <w:t>LO2. Develop control procedures for Microsoft Copilot to manage security.</w:t>
      </w:r>
    </w:p>
    <w:p>
      <w:pPr>
        <w:pStyle w:val="ListBullet"/>
      </w:pPr>
      <w:r>
        <w:t>LO3. Evaluate the integration of Microsoft Copilot to ensure alignment with business objectives.</w:t>
      </w:r>
    </w:p>
    <w:p>
      <w:pPr>
        <w:pStyle w:val="ListBullet"/>
      </w:pPr>
      <w:r>
        <w:t>LO4. Develop optimization plans for Microsoft Copilot to improve business operations.</w:t>
      </w:r>
    </w:p>
    <w:p>
      <w:pPr>
        <w:pStyle w:val="Heading1"/>
      </w:pPr>
      <w:r>
        <w:t>Delivery structure</w:t>
      </w:r>
    </w:p>
    <w:p>
      <w:r>
        <w:t>Three days, 24 hours total: 22 guided training hours and 2 assessment hours. Each day includes breaks managed outside the teaching-hour allocations. Trainer adjusts pace to learner evidence while preserving outcome and assessment coverage.</w:t>
      </w:r>
    </w:p>
    <w:p>
      <w:r>
        <w:br w:type="page"/>
      </w:r>
    </w:p>
    <w:p>
      <w:bookmarkStart w:id="38632" w:name="day1"/>
      <w:pPr>
        <w:pStyle w:val="Heading2"/>
      </w:pPr>
      <w:r>
        <w:t>Day 1 · LO1</w:t>
      </w:r>
      <w:bookmarkEnd w:id="38632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09:30–10:30</w:t>
            </w:r>
          </w:p>
        </w:tc>
        <w:tc>
          <w:tcPr>
            <w:tcW w:type="dxa" w:w="4320"/>
          </w:tcPr>
          <w:p>
            <w:r>
              <w:t>Executive Copilot opportunity and transformation mandate</w:t>
            </w:r>
          </w:p>
        </w:tc>
      </w:tr>
      <w:tr>
        <w:tc>
          <w:tcPr>
            <w:tcW w:type="dxa" w:w="4320"/>
          </w:tcPr>
          <w:p>
            <w:r>
              <w:t>10:30–12:30</w:t>
            </w:r>
          </w:p>
        </w:tc>
        <w:tc>
          <w:tcPr>
            <w:tcW w:type="dxa" w:w="4320"/>
          </w:tcPr>
          <w:p>
            <w:r>
              <w:t>Copilot Chat research and sourced decision briefs, Labs 01–02</w:t>
            </w:r>
          </w:p>
        </w:tc>
      </w:tr>
      <w:tr>
        <w:tc>
          <w:tcPr>
            <w:tcW w:type="dxa" w:w="4320"/>
          </w:tcPr>
          <w:p>
            <w:r>
              <w:t>13:30–15:30</w:t>
            </w:r>
          </w:p>
        </w:tc>
        <w:tc>
          <w:tcPr>
            <w:tcW w:type="dxa" w:w="4320"/>
          </w:tcPr>
          <w:p>
            <w:r>
              <w:t>Word strategy memo and PowerPoint board story, Lab 03</w:t>
            </w:r>
          </w:p>
        </w:tc>
      </w:tr>
      <w:tr>
        <w:tc>
          <w:tcPr>
            <w:tcW w:type="dxa" w:w="4320"/>
          </w:tcPr>
          <w:p>
            <w:r>
              <w:t>15:30–18:30</w:t>
            </w:r>
          </w:p>
        </w:tc>
        <w:tc>
          <w:tcPr>
            <w:tcW w:type="dxa" w:w="4320"/>
          </w:tcPr>
          <w:p>
            <w:r>
              <w:t>Leadership decisions, peer challenge and implementation roadmap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82806" w:name="day2"/>
      <w:pPr>
        <w:pStyle w:val="Heading2"/>
      </w:pPr>
      <w:r>
        <w:t>Day 2 · LO2</w:t>
      </w:r>
      <w:bookmarkEnd w:id="82806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09:30–10:30</w:t>
            </w:r>
          </w:p>
        </w:tc>
        <w:tc>
          <w:tcPr>
            <w:tcW w:type="dxa" w:w="4320"/>
          </w:tcPr>
          <w:p>
            <w:r>
              <w:t>Business data boundaries and human review</w:t>
            </w:r>
          </w:p>
        </w:tc>
      </w:tr>
      <w:tr>
        <w:tc>
          <w:tcPr>
            <w:tcW w:type="dxa" w:w="4320"/>
          </w:tcPr>
          <w:p>
            <w:r>
              <w:t>10:30–12:30</w:t>
            </w:r>
          </w:p>
        </w:tc>
        <w:tc>
          <w:tcPr>
            <w:tcW w:type="dxa" w:w="4320"/>
          </w:tcPr>
          <w:p>
            <w:r>
              <w:t>Responsible use and source verification, Lab 04</w:t>
            </w:r>
          </w:p>
        </w:tc>
      </w:tr>
      <w:tr>
        <w:tc>
          <w:tcPr>
            <w:tcW w:type="dxa" w:w="4320"/>
          </w:tcPr>
          <w:p>
            <w:r>
              <w:t>13:30–15:30</w:t>
            </w:r>
          </w:p>
        </w:tc>
        <w:tc>
          <w:tcPr>
            <w:tcW w:type="dxa" w:w="4320"/>
          </w:tcPr>
          <w:p>
            <w:r>
              <w:t>Governance, risk appetite and board assurance, Lab 05</w:t>
            </w:r>
          </w:p>
        </w:tc>
      </w:tr>
      <w:tr>
        <w:tc>
          <w:tcPr>
            <w:tcW w:type="dxa" w:w="4320"/>
          </w:tcPr>
          <w:p>
            <w:r>
              <w:t>15:30–18:30</w:t>
            </w:r>
          </w:p>
        </w:tc>
        <w:tc>
          <w:tcPr>
            <w:tcW w:type="dxa" w:w="4320"/>
          </w:tcPr>
          <w:p>
            <w:r>
              <w:t>Executive communication, Teams and Outlook, Lab 06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99000" w:name="day3"/>
      <w:pPr>
        <w:pStyle w:val="Heading2"/>
      </w:pPr>
      <w:r>
        <w:t>Day 3 · LO3 and LO4</w:t>
      </w:r>
      <w:bookmarkEnd w:id="99000"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Teaching / assessment and evidence</w:t>
            </w:r>
          </w:p>
        </w:tc>
      </w:tr>
      <w:tr>
        <w:tc>
          <w:tcPr>
            <w:tcW w:type="dxa" w:w="4320"/>
          </w:tcPr>
          <w:p>
            <w:r>
              <w:t>09:30–11:30</w:t>
            </w:r>
          </w:p>
        </w:tc>
        <w:tc>
          <w:tcPr>
            <w:tcW w:type="dxa" w:w="4320"/>
          </w:tcPr>
          <w:p>
            <w:r>
              <w:t>Integration choices and executive operating model, Lab 07</w:t>
            </w:r>
          </w:p>
        </w:tc>
      </w:tr>
      <w:tr>
        <w:tc>
          <w:tcPr>
            <w:tcW w:type="dxa" w:w="4320"/>
          </w:tcPr>
          <w:p>
            <w:r>
              <w:t>11:30–12:30</w:t>
            </w:r>
          </w:p>
        </w:tc>
        <w:tc>
          <w:tcPr>
            <w:tcW w:type="dxa" w:w="4320"/>
          </w:tcPr>
          <w:p>
            <w:r>
              <w:t>Adoption portfolio and 90-day plan, Lab 08</w:t>
            </w:r>
          </w:p>
        </w:tc>
      </w:tr>
      <w:tr>
        <w:tc>
          <w:tcPr>
            <w:tcW w:type="dxa" w:w="4320"/>
          </w:tcPr>
          <w:p>
            <w:r>
              <w:t>13:30–16:30</w:t>
            </w:r>
          </w:p>
        </w:tc>
        <w:tc>
          <w:tcPr>
            <w:tcW w:type="dxa" w:w="4320"/>
          </w:tcPr>
          <w:p>
            <w:r>
              <w:t>Excel value case, scorecard and go/hold decision, Labs 09–10</w:t>
            </w:r>
          </w:p>
        </w:tc>
      </w:tr>
      <w:tr>
        <w:tc>
          <w:tcPr>
            <w:tcW w:type="dxa" w:w="4320"/>
          </w:tcPr>
          <w:p>
            <w:r>
              <w:t>16:30–17:30</w:t>
            </w:r>
          </w:p>
        </w:tc>
        <w:tc>
          <w:tcPr>
            <w:tcW w:type="dxa" w:w="4320"/>
          </w:tcPr>
          <w:p>
            <w:r>
              <w:t>Written Assessment (SAQ)</w:t>
            </w:r>
          </w:p>
        </w:tc>
      </w:tr>
      <w:tr>
        <w:tc>
          <w:tcPr>
            <w:tcW w:type="dxa" w:w="4320"/>
          </w:tcPr>
          <w:p>
            <w:r>
              <w:t>17:30–18:30</w:t>
            </w:r>
          </w:p>
        </w:tc>
        <w:tc>
          <w:tcPr>
            <w:tcW w:type="dxa" w:w="4320"/>
          </w:tcPr>
          <w:p>
            <w:r>
              <w:t>Practical Performance Assessment</w:t>
            </w:r>
          </w:p>
        </w:tc>
      </w:tr>
    </w:tbl>
    <w:p>
      <w:r>
        <w:t>12:30–13:30 lunch is outside the eight contact hours. Short comfort pauses are managed within supervised reflection and feedback blocks. Retain learner artifacts and test results for each mapped lab.</w:t>
      </w:r>
    </w:p>
    <w:p>
      <w:bookmarkStart w:id="62425" w:name="moderation"/>
      <w:pPr>
        <w:pStyle w:val="Heading1"/>
      </w:pPr>
      <w:r>
        <w:t>Assessment and moderation</w:t>
      </w:r>
      <w:bookmarkEnd w:id="62425"/>
    </w:p>
    <w:p>
      <w:r>
        <w:t>Day 3: Written Assessment (60 minutes) and Practical Performance (60 minutes). Verify identity, explain open-book rules, collect candidate artifacts, assess each criterion C/NYC, and record assessor name, date and rationale. Keep answer keys trainer-only.</w:t>
      </w:r>
    </w:p>
    <w:p>
      <w:bookmarkStart w:id="46437" w:name="outcomemap"/>
      <w:pPr>
        <w:pStyle w:val="Heading1"/>
      </w:pPr>
      <w:r>
        <w:t>Outcome-to-evidence map</w:t>
      </w:r>
      <w:bookmarkEnd w:id="46437"/>
    </w:p>
    <w:p>
      <w:r>
        <w:t>LO1: Topic 1; executive cases NS-01, NS-02, NS-03, NS-04, NS-05, NS-06, NS-07, NS-08, NS-09, NS-10, NS-11, NS-12, NS-13, NS-14, NS-15; practical task 1.</w:t>
      </w:r>
    </w:p>
    <w:p>
      <w:r>
        <w:t>LO2: Topic 2; executive cases NS-16, NS-17, NS-18, NS-19, NS-20, NS-21, NS-22, NS-23, NS-24, NS-25; practical task 2.</w:t>
      </w:r>
    </w:p>
    <w:p>
      <w:r>
        <w:t>LO3: Topic 3; executive cases NS-26, NS-27, NS-28, NS-29, NS-30, NS-31, NS-32, NS-33, NS-34, NS-35; practical task 3.</w:t>
      </w:r>
    </w:p>
    <w:p>
      <w:r>
        <w:t>LO4: Topic 4; executive cases NS-36, NS-37, NS-38, NS-39, NS-40, NS-41, NS-42, NS-43, NS-44, NS-45, NS-46, NS-47, NS-48, NS-49, NS-50; practical task 4.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© 2026 Tertiary Infotech Academy Pte Ltd · www.tertiarycourses.com.sg · Page </w:t>
    </w:r>
    <w:r>
      <w:fldChar w:fldCharType="begin"/>
    </w:r>
    <w:r>
      <w:instrText xml:space="preserve">PAGE</w:instrTex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TERTIARY INFOTECH ACADEMY · WSQ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