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Service | Executive brief</w:t>
      </w:r>
    </w:p>
    <w:p>
      <w:r>
        <w:t>Lab 01: Executive transformation mandate</w:t>
      </w:r>
    </w:p>
    <w:p>
      <w:r>
        <w:t>All Northstar Service names, policies and values are synthetic training material. They are not a claim about a real company or a Microsoft tenant.</w:t>
      </w:r>
    </w:p>
    <w:p>
      <w:pPr>
        <w:pStyle w:val="Heading1"/>
      </w:pPr>
      <w:r>
        <w:t>Decision brief</w:t>
      </w:r>
    </w:p>
    <w:p>
      <w:r>
        <w:t>The CEO requires a clear recommendation supported by source evidence, assumptions, counterargument, owner and outcome measure.</w:t>
      </w:r>
    </w:p>
    <w:p>
      <w:pPr>
        <w:pStyle w:val="Heading2"/>
      </w:pPr>
      <w:r>
        <w:t>NS-01: Transformation ambition</w:t>
      </w:r>
    </w:p>
    <w:p>
      <w:r>
        <w:t>Business input: A service division misses response targets</w:t>
      </w:r>
    </w:p>
    <w:p>
      <w:r>
        <w:t>Required output: One-page transformation mandate</w:t>
      </w:r>
    </w:p>
    <w:p>
      <w:r>
        <w:t>Review gate: CEO approves a measurable business problem</w:t>
      </w:r>
    </w:p>
    <w:p>
      <w:pPr>
        <w:pStyle w:val="Heading2"/>
      </w:pPr>
      <w:r>
        <w:t>NS-02: Value pool map</w:t>
      </w:r>
    </w:p>
    <w:p>
      <w:r>
        <w:t>Business input: Five departments and task-volume estimates</w:t>
      </w:r>
    </w:p>
    <w:p>
      <w:r>
        <w:t>Required output: Value pool map with owner</w:t>
      </w:r>
    </w:p>
    <w:p>
      <w:r>
        <w:t>Review gate: Keep only opportunities tied to a named outcome</w:t>
      </w:r>
    </w:p>
    <w:p>
      <w:pPr>
        <w:pStyle w:val="Heading2"/>
      </w:pPr>
      <w:r>
        <w:t>NS-03: Executive sponsor</w:t>
      </w:r>
    </w:p>
    <w:p>
      <w:r>
        <w:t>Business input: Four competing leadership priorities</w:t>
      </w:r>
    </w:p>
    <w:p>
      <w:r>
        <w:t>Required output: Sponsor decision and named accountable owner</w:t>
      </w:r>
    </w:p>
    <w:p>
      <w:r>
        <w:t>Review gate: Sponsor commits a review cadence</w:t>
      </w:r>
    </w:p>
    <w:p>
      <w:pPr>
        <w:pStyle w:val="Heading2"/>
      </w:pPr>
      <w:r>
        <w:t>NS-04: Stakeholder alignment</w:t>
      </w:r>
    </w:p>
    <w:p>
      <w:r>
        <w:t>Business input: Sales, service, finance and risk concerns</w:t>
      </w:r>
    </w:p>
    <w:p>
      <w:r>
        <w:t>Required output: Stakeholder trade-off matrix</w:t>
      </w:r>
    </w:p>
    <w:p>
      <w:r>
        <w:t>Review gate: Record dissent before selecting a pilot</w:t>
      </w:r>
    </w:p>
    <w:p>
      <w:pPr>
        <w:pStyle w:val="Heading2"/>
      </w:pPr>
      <w:r>
        <w:t>NS-05: Success definition</w:t>
      </w:r>
    </w:p>
    <w:p>
      <w:r>
        <w:t>Business input: Baseline cycle time and quality scores</w:t>
      </w:r>
    </w:p>
    <w:p>
      <w:r>
        <w:t>Required output: Outcome scorecard with baseline and target</w:t>
      </w:r>
    </w:p>
    <w:p>
      <w:r>
        <w:t>Review gate: Board accepts denominator and time window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