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Service | Executive brief</w:t>
      </w:r>
    </w:p>
    <w:p>
      <w:r>
        <w:t>Lab 05: Governance and assurance charter</w:t>
      </w:r>
    </w:p>
    <w:p>
      <w:r>
        <w:t>All Northstar Service names, policies and values are synthetic training material. They are not a claim about a real company or a Microsoft tenant.</w:t>
      </w:r>
    </w:p>
    <w:p>
      <w:pPr>
        <w:pStyle w:val="Heading1"/>
      </w:pPr>
      <w:r>
        <w:t>Decision brief</w:t>
      </w:r>
    </w:p>
    <w:p>
      <w:r>
        <w:t>The CEO requires a clear recommendation supported by source evidence, assumptions, counterargument, owner and outcome measure.</w:t>
      </w:r>
    </w:p>
    <w:p>
      <w:pPr>
        <w:pStyle w:val="Heading2"/>
      </w:pPr>
      <w:r>
        <w:t>NS-21: Risk appetite</w:t>
      </w:r>
    </w:p>
    <w:p>
      <w:r>
        <w:t>Business input: Five use cases with different consequences</w:t>
      </w:r>
    </w:p>
    <w:p>
      <w:r>
        <w:t>Required output: Risk-tier matrix</w:t>
      </w:r>
    </w:p>
    <w:p>
      <w:r>
        <w:t>Review gate: High-impact uses require stronger review</w:t>
      </w:r>
    </w:p>
    <w:p>
      <w:pPr>
        <w:pStyle w:val="Heading2"/>
      </w:pPr>
      <w:r>
        <w:t>NS-22: Incident response</w:t>
      </w:r>
    </w:p>
    <w:p>
      <w:r>
        <w:t>Business input: Synthetic disclosure near miss</w:t>
      </w:r>
    </w:p>
    <w:p>
      <w:r>
        <w:t>Required output: Incident decision timeline</w:t>
      </w:r>
    </w:p>
    <w:p>
      <w:r>
        <w:t>Review gate: Security owner determines escalation</w:t>
      </w:r>
    </w:p>
    <w:p>
      <w:pPr>
        <w:pStyle w:val="Heading2"/>
      </w:pPr>
      <w:r>
        <w:t>NS-23: Quality challenge</w:t>
      </w:r>
    </w:p>
    <w:p>
      <w:r>
        <w:t>Business input: Confident answer with two errors</w:t>
      </w:r>
    </w:p>
    <w:p>
      <w:r>
        <w:t>Required output: Red-team finding and correction</w:t>
      </w:r>
    </w:p>
    <w:p>
      <w:r>
        <w:t>Review gate: Release only after material errors corrected</w:t>
      </w:r>
    </w:p>
    <w:p>
      <w:pPr>
        <w:pStyle w:val="Heading2"/>
      </w:pPr>
      <w:r>
        <w:t>NS-24: Policy ownership</w:t>
      </w:r>
    </w:p>
    <w:p>
      <w:r>
        <w:t>Business input: Business, IT, legal and HR responsibilities</w:t>
      </w:r>
    </w:p>
    <w:p>
      <w:r>
        <w:t>Required output: Governance RACI</w:t>
      </w:r>
    </w:p>
    <w:p>
      <w:r>
        <w:t>Review gate: No control lacks a decision owner</w:t>
      </w:r>
    </w:p>
    <w:p>
      <w:pPr>
        <w:pStyle w:val="Heading2"/>
      </w:pPr>
      <w:r>
        <w:t>NS-25: Board assurance</w:t>
      </w:r>
    </w:p>
    <w:p>
      <w:r>
        <w:t>Business input: Pilot results and unresolved risks</w:t>
      </w:r>
    </w:p>
    <w:p>
      <w:r>
        <w:t>Required output: Board risk-and-control dashboard</w:t>
      </w:r>
    </w:p>
    <w:p>
      <w:r>
        <w:t>Review gate: Disclose unresolved material risks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