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9072"/>
      </w:tblGrid>
      <w:tr>
        <w:tc>
          <w:tcPr>
            <w:tcW w:type="dxa" w:w="5032"/>
          </w:tcPr>
          <w:p>
            <w:r>
              <w:drawing>
                <wp:inline xmlns:a="http://schemas.openxmlformats.org/drawingml/2006/main" xmlns:pic="http://schemas.openxmlformats.org/drawingml/2006/picture">
                  <wp:extent cx="420624" cy="420624"/>
                  <wp:docPr id="1" name="Picture 1"/>
                  <wp:cNvGraphicFramePr>
                    <a:graphicFrameLocks noChangeAspect="1"/>
                  </wp:cNvGraphicFramePr>
                  <a:graphic>
                    <a:graphicData uri="http://schemas.openxmlformats.org/drawingml/2006/picture">
                      <pic:pic>
                        <pic:nvPicPr>
                          <pic:cNvPr id="0" name="tia-logo-mark.png"/>
                          <pic:cNvPicPr/>
                        </pic:nvPicPr>
                        <pic:blipFill>
                          <a:blip r:embed="rId10"/>
                          <a:stretch>
                            <a:fillRect/>
                          </a:stretch>
                        </pic:blipFill>
                        <pic:spPr>
                          <a:xfrm>
                            <a:off x="0" y="0"/>
                            <a:ext cx="420624" cy="420624"/>
                          </a:xfrm>
                          <a:prstGeom prst="rect"/>
                        </pic:spPr>
                      </pic:pic>
                    </a:graphicData>
                  </a:graphic>
                </wp:inline>
              </w:drawing>
            </w:r>
          </w:p>
        </w:tc>
        <w:tc>
          <w:tcPr>
            <w:tcW w:type="dxa" w:w="5032"/>
          </w:tcPr>
          <w:p>
            <w:r>
              <w:rPr>
                <w:rFonts w:ascii="Aptos" w:hAnsi="Aptos"/>
                <w:b/>
                <w:color w:val="10284B"/>
                <w:sz w:val="23"/>
              </w:rPr>
              <w:t>TERTIARY INFOTECH ACADEMY</w:t>
            </w:r>
          </w:p>
          <w:p>
            <w:pPr>
              <w:spacing w:after="0"/>
            </w:pPr>
            <w:r>
              <w:rPr>
                <w:rFonts w:ascii="Aptos" w:hAnsi="Aptos"/>
                <w:b w:val="0"/>
                <w:color w:val="5B6D81"/>
                <w:sz w:val="16"/>
              </w:rPr>
              <w:t>Practical technology training for the work you do</w:t>
            </w:r>
          </w:p>
        </w:tc>
      </w:tr>
    </w:tbl>
    <w:p>
      <w:pPr>
        <w:spacing w:after="0"/>
      </w:pPr>
    </w:p>
    <w:tbl>
      <w:tblPr>
        <w:tblW w:type="auto" w:w="0"/>
        <w:tblLook w:firstColumn="1" w:firstRow="1" w:lastColumn="0" w:lastRow="0" w:noHBand="0" w:noVBand="1" w:val="04A0"/>
        <w:tblBorders>
          <w:top w:val="nil"/>
          <w:left w:val="nil"/>
          <w:bottom w:val="nil"/>
          <w:right w:val="nil"/>
          <w:insideH w:val="nil"/>
          <w:insideV w:val="nil"/>
        </w:tblBorders>
      </w:tblPr>
      <w:tblGrid>
        <w:gridCol w:w="10065"/>
      </w:tblGrid>
      <w:tr>
        <w:tc>
          <w:tcPr>
            <w:tcW w:type="dxa" w:w="10065"/>
            <w:shd w:fill="10284B"/>
            <w:tcMar>
              <w:top w:w="290" w:type="dxa"/>
              <w:start w:w="330" w:type="dxa"/>
              <w:bottom w:w="270" w:type="dxa"/>
              <w:end w:w="330" w:type="dxa"/>
            </w:tcMar>
          </w:tcPr>
          <w:p>
            <w:pPr>
              <w:spacing w:after="160" w:line="259" w:lineRule="auto"/>
            </w:pPr>
            <w:r>
              <w:rPr>
                <w:rFonts w:ascii="Aptos" w:hAnsi="Aptos"/>
                <w:b/>
                <w:color w:val="F4B544"/>
                <w:sz w:val="17"/>
              </w:rPr>
              <w:t>WSQ COURSE  /  WSQ AI and Microsoft Copilot</w:t>
            </w:r>
          </w:p>
          <w:p>
            <w:pPr>
              <w:spacing w:after="200" w:line="259" w:lineRule="auto"/>
            </w:pPr>
            <w:r>
              <w:rPr>
                <w:rFonts w:ascii="Aptos" w:hAnsi="Aptos"/>
                <w:b/>
                <w:color w:val="FFFFFF"/>
                <w:sz w:val="54"/>
              </w:rPr>
              <w:t>AI Transformation with Microsoft Copilot</w:t>
            </w:r>
          </w:p>
          <w:p>
            <w:pPr>
              <w:spacing w:after="240" w:line="259" w:lineRule="auto"/>
            </w:pPr>
            <w:r>
              <w:rPr>
                <w:rFonts w:ascii="Aptos" w:hAnsi="Aptos"/>
                <w:b w:val="0"/>
                <w:color w:val="BEEBF3"/>
                <w:sz w:val="26"/>
              </w:rPr>
              <w:t>Plan, secure, integrate and measure Copilot at work</w:t>
            </w:r>
          </w:p>
          <w:p>
            <w:pPr>
              <w:spacing w:after="0" w:line="259" w:lineRule="auto"/>
            </w:pPr>
            <w:r>
              <w:rPr>
                <w:rFonts w:ascii="Aptos" w:hAnsi="Aptos"/>
                <w:b/>
                <w:color w:val="80DDEE"/>
                <w:sz w:val="18"/>
              </w:rPr>
              <w:t>TGS-2024044051</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2516"/>
        <w:gridCol w:w="2516"/>
        <w:gridCol w:w="2516"/>
        <w:gridCol w:w="2516"/>
      </w:tblGrid>
      <w:tr>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3 days</w:t>
            </w:r>
          </w:p>
          <w:p>
            <w:pPr>
              <w:spacing w:after="0" w:line="259" w:lineRule="auto"/>
            </w:pPr>
            <w:r>
              <w:rPr>
                <w:rFonts w:ascii="Aptos" w:hAnsi="Aptos"/>
                <w:b w:val="0"/>
                <w:color w:val="5B6D81"/>
                <w:sz w:val="14"/>
              </w:rPr>
              <w:t>DURATION</w:t>
            </w:r>
          </w:p>
        </w:tc>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 xml:space="preserve">24 hours including 2 hours of </w:t>
            </w:r>
          </w:p>
          <w:p>
            <w:pPr>
              <w:spacing w:after="0" w:line="259" w:lineRule="auto"/>
            </w:pPr>
            <w:r>
              <w:rPr>
                <w:rFonts w:ascii="Aptos" w:hAnsi="Aptos"/>
                <w:b w:val="0"/>
                <w:color w:val="5B6D81"/>
                <w:sz w:val="14"/>
              </w:rPr>
              <w:t>TRAINING</w:t>
            </w:r>
          </w:p>
        </w:tc>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Beginner</w:t>
            </w:r>
          </w:p>
          <w:p>
            <w:pPr>
              <w:spacing w:after="0" w:line="259" w:lineRule="auto"/>
            </w:pPr>
            <w:r>
              <w:rPr>
                <w:rFonts w:ascii="Aptos" w:hAnsi="Aptos"/>
                <w:b w:val="0"/>
                <w:color w:val="5B6D81"/>
                <w:sz w:val="14"/>
              </w:rPr>
              <w:t>LEVEL</w:t>
            </w:r>
          </w:p>
        </w:tc>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12 Woodlands Square #07-85/86/</w:t>
            </w:r>
          </w:p>
          <w:p>
            <w:pPr>
              <w:spacing w:after="0" w:line="259" w:lineRule="auto"/>
            </w:pPr>
            <w:r>
              <w:rPr>
                <w:rFonts w:ascii="Aptos" w:hAnsi="Aptos"/>
                <w:b w:val="0"/>
                <w:color w:val="5B6D81"/>
                <w:sz w:val="14"/>
              </w:rPr>
              <w:t>VENUE</w:t>
            </w:r>
          </w:p>
        </w:tc>
      </w:tr>
    </w:tbl>
    <w:p>
      <w:pPr>
        <w:keepNext/>
        <w:spacing w:before="200" w:after="120"/>
      </w:pPr>
      <w:r>
        <w:rPr>
          <w:rFonts w:ascii="Aptos" w:hAnsi="Aptos"/>
          <w:b/>
          <w:color w:val="10284B"/>
          <w:sz w:val="36"/>
        </w:rPr>
        <w:t>Why this matters now</w:t>
      </w:r>
    </w:p>
    <w:tbl>
      <w:tblPr>
        <w:tblW w:type="auto" w:w="0"/>
        <w:tblLook w:firstColumn="1" w:firstRow="1" w:lastColumn="0" w:lastRow="0" w:noHBand="0" w:noVBand="1" w:val="04A0"/>
        <w:tblBorders>
          <w:top w:val="nil"/>
          <w:left w:val="nil"/>
          <w:bottom w:val="nil"/>
          <w:right w:val="nil"/>
          <w:insideH w:val="nil"/>
          <w:insideV w:val="nil"/>
        </w:tblBorders>
      </w:tblPr>
      <w:tblGrid>
        <w:gridCol w:w="10065"/>
      </w:tblGrid>
      <w:tr>
        <w:tc>
          <w:tcPr>
            <w:tcW w:type="dxa" w:w="10065"/>
            <w:shd w:fill="ECF7FA"/>
            <w:tcMar>
              <w:top w:w="165" w:type="dxa"/>
              <w:start w:w="190" w:type="dxa"/>
              <w:bottom w:w="165" w:type="dxa"/>
              <w:end w:w="190" w:type="dxa"/>
            </w:tcMar>
          </w:tcPr>
          <w:p>
            <w:pPr>
              <w:spacing w:after="0" w:line="259" w:lineRule="auto"/>
            </w:pPr>
            <w:r>
              <w:rPr>
                <w:rFonts w:ascii="Aptos" w:hAnsi="Aptos"/>
                <w:b w:val="0"/>
                <w:color w:val="10284B"/>
                <w:sz w:val="20"/>
              </w:rPr>
              <w:t>Turn Microsoft Copilot from isolated prompts into a controlled business improvement programme. Build an implementation plan, test security gates, design an agent workflow, and measure pilot value using evidence your stakeholders can review.</w:t>
            </w:r>
          </w:p>
        </w:tc>
      </w:tr>
    </w:tbl>
    <w:p>
      <w:pPr>
        <w:keepNext/>
        <w:spacing w:before="200" w:after="120"/>
      </w:pPr>
      <w:r>
        <w:rPr>
          <w:rFonts w:ascii="Aptos" w:hAnsi="Aptos"/>
          <w:b/>
          <w:color w:val="10284B"/>
          <w:sz w:val="30"/>
        </w:rPr>
        <w:t>Fee at a glance</w:t>
      </w:r>
    </w:p>
    <w:tbl>
      <w:tblPr>
        <w:tblW w:type="auto" w:w="0"/>
        <w:tblLook w:firstColumn="1" w:firstRow="1" w:lastColumn="0" w:lastRow="0" w:noHBand="0" w:noVBand="1" w:val="04A0"/>
        <w:tblBorders>
          <w:top w:val="nil"/>
          <w:left w:val="nil"/>
          <w:bottom w:val="nil"/>
          <w:right w:val="nil"/>
          <w:insideH w:val="nil"/>
          <w:insideV w:val="nil"/>
        </w:tblBorders>
      </w:tblPr>
      <w:tblGrid>
        <w:gridCol w:w="3355"/>
        <w:gridCol w:w="3355"/>
        <w:gridCol w:w="3355"/>
      </w:tblGrid>
      <w:tr>
        <w:tc>
          <w:tcPr>
            <w:tcW w:type="dxa" w:w="3355"/>
            <w:shd w:fill="F3F6FA"/>
            <w:tcMar>
              <w:top w:w="150" w:type="dxa"/>
              <w:start w:w="140" w:type="dxa"/>
              <w:bottom w:w="150" w:type="dxa"/>
              <w:end w:w="140" w:type="dxa"/>
            </w:tcMar>
          </w:tcPr>
          <w:p>
            <w:pPr>
              <w:spacing w:after="80" w:line="259" w:lineRule="auto"/>
            </w:pPr>
            <w:r>
              <w:rPr>
                <w:rFonts w:ascii="Aptos" w:hAnsi="Aptos"/>
                <w:b/>
                <w:color w:val="15498C"/>
                <w:sz w:val="16"/>
              </w:rPr>
              <w:t>BEFORE GST</w:t>
            </w:r>
          </w:p>
          <w:p>
            <w:pPr>
              <w:spacing w:after="60" w:line="259" w:lineRule="auto"/>
            </w:pPr>
            <w:r>
              <w:rPr>
                <w:rFonts w:ascii="Aptos" w:hAnsi="Aptos"/>
                <w:b/>
                <w:color w:val="10284B"/>
                <w:sz w:val="36"/>
              </w:rPr>
              <w:t>$1,500</w:t>
            </w:r>
          </w:p>
          <w:p>
            <w:pPr>
              <w:spacing w:after="0" w:line="259" w:lineRule="auto"/>
            </w:pPr>
            <w:r>
              <w:rPr>
                <w:rFonts w:ascii="Aptos" w:hAnsi="Aptos"/>
                <w:b w:val="0"/>
                <w:color w:val="5B6D81"/>
                <w:sz w:val="15"/>
              </w:rPr>
              <w:t>Published course fee</w:t>
            </w:r>
          </w:p>
        </w:tc>
        <w:tc>
          <w:tcPr>
            <w:tcW w:type="dxa" w:w="3355"/>
            <w:shd w:fill="F3F6FA"/>
            <w:tcMar>
              <w:top w:w="150" w:type="dxa"/>
              <w:start w:w="140" w:type="dxa"/>
              <w:bottom w:w="150" w:type="dxa"/>
              <w:end w:w="140" w:type="dxa"/>
            </w:tcMar>
          </w:tcPr>
          <w:p>
            <w:pPr>
              <w:spacing w:after="80" w:line="259" w:lineRule="auto"/>
            </w:pPr>
            <w:r>
              <w:rPr>
                <w:rFonts w:ascii="Aptos" w:hAnsi="Aptos"/>
                <w:b/>
                <w:color w:val="15498C"/>
                <w:sz w:val="16"/>
              </w:rPr>
              <w:t>AFTER GST</w:t>
            </w:r>
          </w:p>
          <w:p>
            <w:pPr>
              <w:spacing w:after="60" w:line="259" w:lineRule="auto"/>
            </w:pPr>
            <w:r>
              <w:rPr>
                <w:rFonts w:ascii="Aptos" w:hAnsi="Aptos"/>
                <w:b/>
                <w:color w:val="10284B"/>
                <w:sz w:val="36"/>
              </w:rPr>
              <w:t>$1,635</w:t>
            </w:r>
          </w:p>
          <w:p>
            <w:pPr>
              <w:spacing w:after="0" w:line="259" w:lineRule="auto"/>
            </w:pPr>
            <w:r>
              <w:rPr>
                <w:rFonts w:ascii="Aptos" w:hAnsi="Aptos"/>
                <w:b w:val="0"/>
                <w:color w:val="5B6D81"/>
                <w:sz w:val="15"/>
              </w:rPr>
              <w:t>GST included</w:t>
            </w:r>
          </w:p>
        </w:tc>
        <w:tc>
          <w:tcPr>
            <w:tcW w:type="dxa" w:w="3355"/>
            <w:shd w:fill="10284B"/>
            <w:tcMar>
              <w:top w:w="150" w:type="dxa"/>
              <w:start w:w="140" w:type="dxa"/>
              <w:bottom w:w="150" w:type="dxa"/>
              <w:end w:w="140" w:type="dxa"/>
            </w:tcMar>
          </w:tcPr>
          <w:p>
            <w:pPr>
              <w:spacing w:after="80" w:line="259" w:lineRule="auto"/>
            </w:pPr>
            <w:r>
              <w:rPr>
                <w:rFonts w:ascii="Aptos" w:hAnsi="Aptos"/>
                <w:b/>
                <w:color w:val="F4B544"/>
                <w:sz w:val="16"/>
              </w:rPr>
              <w:t>MCES / SME 70% FUNDED</w:t>
            </w:r>
          </w:p>
          <w:p>
            <w:pPr>
              <w:spacing w:after="60" w:line="259" w:lineRule="auto"/>
            </w:pPr>
            <w:r>
              <w:rPr>
                <w:rFonts w:ascii="Aptos" w:hAnsi="Aptos"/>
                <w:b/>
                <w:color w:val="FFFFFF"/>
                <w:sz w:val="36"/>
              </w:rPr>
              <w:t>$585</w:t>
            </w:r>
          </w:p>
          <w:p>
            <w:pPr>
              <w:spacing w:after="0" w:line="259" w:lineRule="auto"/>
            </w:pPr>
            <w:r>
              <w:rPr>
                <w:rFonts w:ascii="Aptos" w:hAnsi="Aptos"/>
                <w:b w:val="0"/>
                <w:color w:val="D8E7F2"/>
                <w:sz w:val="15"/>
              </w:rPr>
              <w:t>Subject to eligibility</w:t>
            </w:r>
          </w:p>
        </w:tc>
      </w:tr>
    </w:tbl>
    <w:p>
      <w:pPr>
        <w:keepNext/>
        <w:spacing w:before="200" w:after="120"/>
      </w:pPr>
      <w:r>
        <w:rPr>
          <w:rFonts w:ascii="Aptos" w:hAnsi="Aptos"/>
          <w:b/>
          <w:color w:val="10284B"/>
          <w:sz w:val="30"/>
        </w:rPr>
        <w:t>Funding support and benefits</w:t>
      </w:r>
    </w:p>
    <w:tbl>
      <w:tblPr>
        <w:tblW w:type="auto" w:w="0"/>
        <w:tblLook w:firstColumn="1" w:firstRow="1" w:lastColumn="0" w:lastRow="0" w:noHBand="0" w:noVBand="1" w:val="04A0"/>
        <w:tblBorders>
          <w:top w:val="nil"/>
          <w:left w:val="nil"/>
          <w:bottom w:val="nil"/>
          <w:right w:val="nil"/>
          <w:insideH w:val="nil"/>
          <w:insideV w:val="nil"/>
        </w:tblBorders>
      </w:tblPr>
      <w:tblGrid>
        <w:gridCol w:w="10065"/>
      </w:tblGrid>
      <w:tr>
        <w:tc>
          <w:tcPr>
            <w:tcW w:type="dxa" w:w="10065"/>
            <w:shd w:fill="10284B"/>
            <w:tcMar>
              <w:top w:w="105" w:type="dxa"/>
              <w:start w:w="150" w:type="dxa"/>
              <w:bottom w:w="105" w:type="dxa"/>
              <w:end w:w="150" w:type="dxa"/>
            </w:tcMar>
          </w:tcPr>
          <w:p>
            <w:pPr>
              <w:spacing w:after="40" w:line="259" w:lineRule="auto"/>
            </w:pPr>
            <w:r>
              <w:rPr>
                <w:rFonts w:ascii="Aptos" w:hAnsi="Aptos"/>
                <w:b/>
                <w:color w:val="F4B544"/>
                <w:sz w:val="16"/>
              </w:rPr>
              <w:t>MAKE TRAINING MORE AFFORDABLE</w:t>
            </w:r>
          </w:p>
          <w:p>
            <w:pPr>
              <w:spacing w:after="0" w:line="259" w:lineRule="auto"/>
            </w:pPr>
            <w:r>
              <w:rPr>
                <w:rFonts w:ascii="Aptos" w:hAnsi="Aptos"/>
                <w:b/>
                <w:color w:val="FFFFFF"/>
                <w:sz w:val="22"/>
              </w:rPr>
              <w:t>Verified support options for this course</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55"/>
        <w:gridCol w:w="3355"/>
        <w:gridCol w:w="3355"/>
      </w:tblGrid>
      <w:tr>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SkillsFuture Credit</w:t>
            </w:r>
          </w:p>
          <w:p>
            <w:pPr>
              <w:spacing w:after="0" w:line="259" w:lineRule="auto"/>
            </w:pPr>
            <w:r>
              <w:rPr>
                <w:rFonts w:ascii="Aptos" w:hAnsi="Aptos"/>
                <w:b w:val="0"/>
                <w:color w:val="5B6D81"/>
                <w:sz w:val="14"/>
              </w:rPr>
              <w:t>Use available credit, subject to eligibility</w:t>
            </w:r>
          </w:p>
        </w:tc>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PSEA</w:t>
            </w:r>
          </w:p>
          <w:p>
            <w:pPr>
              <w:spacing w:after="0" w:line="259" w:lineRule="auto"/>
            </w:pPr>
            <w:r>
              <w:rPr>
                <w:rFonts w:ascii="Aptos" w:hAnsi="Aptos"/>
                <w:b w:val="0"/>
                <w:color w:val="5B6D81"/>
                <w:sz w:val="14"/>
              </w:rPr>
              <w:t>Eligible learners may use PSEA</w:t>
            </w:r>
          </w:p>
        </w:tc>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SFEC</w:t>
            </w:r>
          </w:p>
          <w:p>
            <w:pPr>
              <w:spacing w:after="0" w:line="259" w:lineRule="auto"/>
            </w:pPr>
            <w:r>
              <w:rPr>
                <w:rFonts w:ascii="Aptos" w:hAnsi="Aptos"/>
                <w:b w:val="0"/>
                <w:color w:val="5B6D81"/>
                <w:sz w:val="14"/>
              </w:rPr>
              <w:t>Employer support, subject to eligibility</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55"/>
        <w:gridCol w:w="3355"/>
        <w:gridCol w:w="3355"/>
      </w:tblGrid>
      <w:tr>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Absentee Payroll</w:t>
            </w:r>
          </w:p>
          <w:p>
            <w:pPr>
              <w:spacing w:after="0" w:line="259" w:lineRule="auto"/>
            </w:pPr>
            <w:r>
              <w:rPr>
                <w:rFonts w:ascii="Aptos" w:hAnsi="Aptos"/>
                <w:b w:val="0"/>
                <w:color w:val="5B6D81"/>
                <w:sz w:val="14"/>
              </w:rPr>
              <w:t>Employer support, subject to eligibility</w:t>
            </w:r>
          </w:p>
        </w:tc>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MCES</w:t>
            </w:r>
          </w:p>
          <w:p>
            <w:pPr>
              <w:spacing w:after="0" w:line="259" w:lineRule="auto"/>
            </w:pPr>
            <w:r>
              <w:rPr>
                <w:rFonts w:ascii="Aptos" w:hAnsi="Aptos"/>
                <w:b w:val="0"/>
                <w:color w:val="5B6D81"/>
                <w:sz w:val="14"/>
              </w:rPr>
              <w:t>Enhanced funding, subject to eligibility</w:t>
            </w:r>
          </w:p>
        </w:tc>
        <w:tc>
          <w:tcPr>
            <w:tcW w:type="dxa" w:w="3355"/>
            <w:tcMar>
              <w:top w:w="105" w:type="dxa"/>
              <w:start w:w="105" w:type="dxa"/>
              <w:bottom w:w="100" w:type="dxa"/>
              <w:end w:w="105" w:type="dxa"/>
            </w:tcMar>
            <w:shd w:fill="FFFFFF"/>
          </w:tcP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0"/>
        <w:gridCol w:w="2016"/>
      </w:tblGrid>
      <w:tr>
        <w:tc>
          <w:tcPr>
            <w:tcW w:type="dxa" w:w="5032"/>
            <w:shd w:fill="ECF7FA"/>
            <w:tcMar>
              <w:top w:w="145" w:type="dxa"/>
              <w:start w:w="170" w:type="dxa"/>
              <w:bottom w:w="145" w:type="dxa"/>
              <w:end w:w="170" w:type="dxa"/>
            </w:tcMar>
          </w:tcPr>
          <w:p>
            <w:pPr>
              <w:spacing w:after="100" w:line="259" w:lineRule="auto"/>
            </w:pPr>
            <w:r>
              <w:rPr>
                <w:rFonts w:ascii="Aptos" w:hAnsi="Aptos"/>
                <w:b/>
                <w:color w:val="10284B"/>
                <w:sz w:val="22"/>
              </w:rPr>
              <w:t>Explore dates and register</w:t>
            </w:r>
          </w:p>
          <w:p>
            <w:pPr>
              <w:spacing w:after="100" w:line="259" w:lineRule="auto"/>
            </w:pPr>
            <w:r>
              <w:rPr>
                <w:rFonts w:ascii="Aptos" w:hAnsi="Aptos"/>
                <w:b w:val="0"/>
                <w:color w:val="5B6D81"/>
                <w:sz w:val="16"/>
              </w:rPr>
              <w:t>Scan the QR code or use the link to view current dates and register.</w:t>
            </w:r>
          </w:p>
          <w:p>
            <w:pPr>
              <w:spacing w:after="0"/>
            </w:pPr>
            <w:hyperlink r:id="rId11">
              <w:r>
                <w:rPr>
                  <w:color w:val="15498C"/>
                  <w:u w:val="single"/>
                </w:rPr>
                <w:t>www.tertiarycourses.com.sg/wsq-ai-transformation-with-microsoft-copilot.html</w:t>
              </w:r>
            </w:hyperlink>
          </w:p>
        </w:tc>
        <w:tc>
          <w:tcPr>
            <w:tcW w:type="dxa" w:w="5032"/>
            <w:shd w:fill="FFFFFF"/>
            <w:tcMar>
              <w:top w:w="70" w:type="dxa"/>
              <w:start w:w="75" w:type="dxa"/>
              <w:bottom w:w="55" w:type="dxa"/>
              <w:end w:w="75" w:type="dxa"/>
            </w:tcMar>
          </w:tcPr>
          <w:p>
            <w:pPr>
              <w:jc w:val="center"/>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spacing w:after="0"/>
              <w:jc w:val="center"/>
            </w:pPr>
            <w:r>
              <w:rPr>
                <w:rFonts w:ascii="Aptos" w:hAnsi="Aptos"/>
                <w:b/>
                <w:color w:val="15498C"/>
                <w:sz w:val="13"/>
              </w:rPr>
              <w:t>SCAN TO REGISTER</w:t>
            </w:r>
          </w:p>
        </w:tc>
      </w:tr>
    </w:tbl>
    <w:p>
      <w:r>
        <w:br w:type="page"/>
      </w:r>
    </w:p>
    <w:p>
      <w:pPr>
        <w:keepNext/>
        <w:spacing w:before="200" w:after="120"/>
      </w:pPr>
      <w:r>
        <w:rPr>
          <w:rFonts w:ascii="Aptos" w:hAnsi="Aptos"/>
          <w:b/>
          <w:color w:val="10284B"/>
          <w:sz w:val="36"/>
        </w:rPr>
        <w:t>Course description</w:t>
      </w:r>
    </w:p>
    <w:p>
      <w:pPr>
        <w:spacing w:before="0" w:after="140" w:line="288" w:lineRule="auto"/>
      </w:pPr>
      <w:r>
        <w:rPr>
          <w:rFonts w:ascii="Aptos" w:hAnsi="Aptos"/>
          <w:b w:val="0"/>
          <w:color w:val="17263B"/>
          <w:sz w:val="18"/>
        </w:rPr>
        <w:t>AI Transformation with Microsoft Copilot equips participants to plan, design, implement and evaluate AI-powered solutions using Microsoft 365 Copilot, Copilot Studio, Microsoft Foundry, Power Platform and connected business workflows. Learners work with organisational data, files and application context while preserving privacy and security. They design custom agents, prompts and integrations; test output quality, prompt injection and sensitive-data exposure; and use telemetry and ROI measures to decide whether to scale. Synthetic cases and structured labs keep practical evidence separate from live customer data.</w:t>
      </w:r>
    </w:p>
    <w:p>
      <w:pPr>
        <w:keepNext/>
        <w:spacing w:before="200" w:after="120"/>
      </w:pPr>
      <w:r>
        <w:rPr>
          <w:rFonts w:ascii="Aptos" w:hAnsi="Aptos"/>
          <w:b/>
          <w:color w:val="10284B"/>
          <w:sz w:val="36"/>
        </w:rPr>
        <w:t>Course topics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01</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1: Microsoft 365 Copilot Implementation and Business Process Transformation</w:t>
            </w:r>
          </w:p>
          <w:p>
            <w:pPr>
              <w:spacing w:after="0" w:line="259" w:lineRule="auto"/>
            </w:pPr>
            <w:r>
              <w:rPr>
                <w:rFonts w:ascii="Aptos" w:hAnsi="Aptos"/>
                <w:b w:val="0"/>
                <w:color w:val="5B6D81"/>
                <w:sz w:val="16"/>
              </w:rPr>
              <w:t>Tenant readiness • License allocation • Graph permission scope • Business-process mapping • Opportunity scoring • Prompt context window • Grounded retrieval • Word proposal draft • Excel service analysis • PowerPoint executive story • Outlook response workflow • Teams meeting synthesis • Adoption rollout</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02</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2: Microsoft Copilot Administration, Security and Responsible AI</w:t>
            </w:r>
          </w:p>
          <w:p>
            <w:pPr>
              <w:spacing w:after="0" w:line="259" w:lineRule="auto"/>
            </w:pPr>
            <w:r>
              <w:rPr>
                <w:rFonts w:ascii="Aptos" w:hAnsi="Aptos"/>
                <w:b w:val="0"/>
                <w:color w:val="5B6D81"/>
                <w:sz w:val="16"/>
              </w:rPr>
              <w:t>Identity and MFA • Sensitivity labels • DLP boundaries • SharePoint oversharing • Retention and records • Audit event trail • Prompt-injection boundary • Fabrication review • Tool permission design • Environment policy • Incident response • Human decision gate</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03</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3: Copilot Integration, AI Agents and Cross-Platform Workflows</w:t>
            </w:r>
          </w:p>
          <w:p>
            <w:pPr>
              <w:spacing w:after="0" w:line="259" w:lineRule="auto"/>
            </w:pPr>
            <w:r>
              <w:rPr>
                <w:rFonts w:ascii="Aptos" w:hAnsi="Aptos"/>
                <w:b w:val="0"/>
                <w:color w:val="5B6D81"/>
                <w:sz w:val="16"/>
              </w:rPr>
              <w:t>Agent purpose contract • Knowledge-source curation • Citation evaluation • Copilot Studio topic routing • Connector action • Approval action • Power Automate flow • Dynamics 365 context • Foundry model choice • MCP tool registration • A2A handoff • Multi-agent orchestration • Cross-platform error handling</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04</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4: AI Optimization, Performance Monitoring and Business Value Assessment</w:t>
            </w:r>
          </w:p>
          <w:p>
            <w:pPr>
              <w:spacing w:after="0" w:line="259" w:lineRule="auto"/>
            </w:pPr>
            <w:r>
              <w:rPr>
                <w:rFonts w:ascii="Aptos" w:hAnsi="Aptos"/>
                <w:b w:val="0"/>
                <w:color w:val="5B6D81"/>
                <w:sz w:val="16"/>
              </w:rPr>
              <w:t>Usage telemetry • Agent quality rubric • Golden test set • Time-saved estimate • ROI model • License optimization • Latency budget • Error budget • Feedback triage • Experiment design • Rollout wave gate • Retirement control</w:t>
            </w:r>
          </w:p>
        </w:tc>
      </w:tr>
    </w:tbl>
    <w:p>
      <w:pPr>
        <w:spacing w:after="20"/>
      </w:pPr>
    </w:p>
    <w:p>
      <w:pPr>
        <w:keepNext/>
        <w:spacing w:before="200" w:after="120"/>
      </w:pPr>
      <w:r>
        <w:rPr>
          <w:rFonts w:ascii="Aptos" w:hAnsi="Aptos"/>
          <w:b/>
          <w:color w:val="10284B"/>
          <w:sz w:val="28"/>
        </w:rPr>
        <w:t>Learning outcomes</w:t>
      </w:r>
    </w:p>
    <w:p>
      <w:pPr>
        <w:spacing w:after="80"/>
        <w:ind w:left="360" w:hanging="360"/>
      </w:pPr>
      <w:r>
        <w:rPr>
          <w:rFonts w:ascii="Aptos" w:hAnsi="Aptos"/>
          <w:b/>
          <w:color w:val="15498C"/>
          <w:sz w:val="17"/>
        </w:rPr>
        <w:t xml:space="preserve">LO1  </w:t>
      </w:r>
      <w:r>
        <w:rPr>
          <w:rFonts w:ascii="Aptos" w:hAnsi="Aptos"/>
          <w:b w:val="0"/>
          <w:color w:val="17263B"/>
          <w:sz w:val="17"/>
        </w:rPr>
        <w:t>Develop technology implementation plans and business processes for Microsoft Copilot.</w:t>
      </w:r>
    </w:p>
    <w:p>
      <w:pPr>
        <w:spacing w:after="80"/>
        <w:ind w:left="360" w:hanging="360"/>
      </w:pPr>
      <w:r>
        <w:rPr>
          <w:rFonts w:ascii="Aptos" w:hAnsi="Aptos"/>
          <w:b/>
          <w:color w:val="15498C"/>
          <w:sz w:val="17"/>
        </w:rPr>
        <w:t xml:space="preserve">LO2  </w:t>
      </w:r>
      <w:r>
        <w:rPr>
          <w:rFonts w:ascii="Aptos" w:hAnsi="Aptos"/>
          <w:b w:val="0"/>
          <w:color w:val="17263B"/>
          <w:sz w:val="17"/>
        </w:rPr>
        <w:t>Develop control procedures for Microsoft Copilot to manage security.</w:t>
      </w:r>
    </w:p>
    <w:p>
      <w:pPr>
        <w:spacing w:after="80"/>
        <w:ind w:left="360" w:hanging="360"/>
      </w:pPr>
      <w:r>
        <w:rPr>
          <w:rFonts w:ascii="Aptos" w:hAnsi="Aptos"/>
          <w:b/>
          <w:color w:val="15498C"/>
          <w:sz w:val="17"/>
        </w:rPr>
        <w:t xml:space="preserve">LO3  </w:t>
      </w:r>
      <w:r>
        <w:rPr>
          <w:rFonts w:ascii="Aptos" w:hAnsi="Aptos"/>
          <w:b w:val="0"/>
          <w:color w:val="17263B"/>
          <w:sz w:val="17"/>
        </w:rPr>
        <w:t>Evaluate the integration of Microsoft Copilot to ensure alignment with business objectives.</w:t>
      </w:r>
    </w:p>
    <w:p>
      <w:pPr>
        <w:spacing w:after="80"/>
        <w:ind w:left="360" w:hanging="360"/>
      </w:pPr>
      <w:r>
        <w:rPr>
          <w:rFonts w:ascii="Aptos" w:hAnsi="Aptos"/>
          <w:b/>
          <w:color w:val="15498C"/>
          <w:sz w:val="17"/>
        </w:rPr>
        <w:t xml:space="preserve">LO4  </w:t>
      </w:r>
      <w:r>
        <w:rPr>
          <w:rFonts w:ascii="Aptos" w:hAnsi="Aptos"/>
          <w:b w:val="0"/>
          <w:color w:val="17263B"/>
          <w:sz w:val="17"/>
        </w:rPr>
        <w:t>Develop optimization plans for Microsoft Copilot to improve business operations.</w:t>
      </w:r>
    </w:p>
    <w:p>
      <w:r>
        <w:br w:type="page"/>
      </w:r>
    </w:p>
    <w:p>
      <w:pPr>
        <w:keepNext/>
        <w:spacing w:before="200" w:after="120"/>
      </w:pPr>
      <w:r>
        <w:rPr>
          <w:rFonts w:ascii="Aptos" w:hAnsi="Aptos"/>
          <w:b/>
          <w:color w:val="10284B"/>
          <w:sz w:val="36"/>
        </w:rPr>
        <w:t>Fees and course details</w:t>
      </w:r>
    </w:p>
    <w:p>
      <w:pPr>
        <w:spacing w:before="0" w:after="180" w:line="288" w:lineRule="auto"/>
      </w:pPr>
      <w:r>
        <w:rPr>
          <w:rFonts w:ascii="Aptos" w:hAnsi="Aptos"/>
          <w:b w:val="0"/>
          <w:color w:val="17263B"/>
          <w:sz w:val="19"/>
        </w:rPr>
        <w:t>Published fee: $1,500 before GST. GST: $135. Total: $1,635 after GST.</w:t>
      </w:r>
    </w:p>
    <w:tbl>
      <w:tblPr>
        <w:tblW w:type="auto" w:w="0"/>
        <w:jc w:val="center"/>
        <w:tblLayout w:type="fixed"/>
        <w:tblLook w:firstColumn="1" w:firstRow="1" w:lastColumn="0" w:lastRow="0" w:noHBand="0" w:noVBand="1" w:val="04A0"/>
      </w:tblPr>
      <w:tblGrid>
        <w:gridCol w:w="2516"/>
        <w:gridCol w:w="2516"/>
        <w:gridCol w:w="2516"/>
        <w:gridCol w:w="2516"/>
      </w:tblGrid>
      <w:tr>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Scenario</w:t>
            </w:r>
          </w:p>
        </w:tc>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Funding</w:t>
            </w:r>
          </w:p>
        </w:tc>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Before GST</w:t>
            </w:r>
          </w:p>
        </w:tc>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After GST</w:t>
            </w:r>
          </w:p>
        </w:tc>
      </w:tr>
      <w:tr>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Baseline 50% funded</w:t>
            </w:r>
          </w:p>
        </w:tc>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$750</w:t>
            </w:r>
          </w:p>
        </w:tc>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$750</w:t>
            </w:r>
          </w:p>
        </w:tc>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10284B"/>
                <w:sz w:val="16"/>
              </w:rPr>
              <w:t>$885</w:t>
            </w:r>
          </w:p>
        </w:tc>
      </w:tr>
      <w:tr>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MCES / SME 70% funded</w:t>
            </w:r>
          </w:p>
        </w:tc>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$1,050</w:t>
            </w:r>
          </w:p>
        </w:tc>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$450</w:t>
            </w:r>
          </w:p>
        </w:tc>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10284B"/>
                <w:sz w:val="16"/>
              </w:rPr>
              <w:t>$585</w:t>
            </w:r>
          </w:p>
        </w:tc>
      </w:tr>
    </w:tbl>
    <w:p>
      <w:pPr>
        <w:spacing w:before="100" w:after="160" w:line="276" w:lineRule="auto"/>
      </w:pPr>
      <w:r>
        <w:rPr>
          <w:rFonts w:ascii="Aptos" w:hAnsi="Aptos"/>
          <w:b w:val="0"/>
          <w:color w:val="5B6D81"/>
          <w:sz w:val="15"/>
        </w:rPr>
        <w:t>Funding and final payable amounts are subject to eligibility and official approval. GST is shown separately from the course fee.</w:t>
      </w:r>
    </w:p>
    <w:p>
      <w:pPr>
        <w:spacing w:before="0" w:after="100" w:line="276" w:lineRule="auto"/>
      </w:pPr>
      <w:r>
        <w:rPr>
          <w:rFonts w:ascii="Aptos" w:hAnsi="Aptos"/>
          <w:b w:val="0"/>
          <w:color w:val="5B6D81"/>
          <w:sz w:val="16"/>
        </w:rPr>
        <w:t>Funding validity: 5 Apr 2024 to 4 Apr 2028</w:t>
      </w:r>
    </w:p>
    <w:p>
      <w:pPr>
        <w:keepNext/>
        <w:spacing w:before="200" w:after="120"/>
      </w:pPr>
      <w:r>
        <w:rPr>
          <w:rFonts w:ascii="Aptos" w:hAnsi="Aptos"/>
          <w:b/>
          <w:color w:val="10284B"/>
          <w:sz w:val="28"/>
        </w:rPr>
        <w:t>Eligible support and course benefits</w:t>
      </w:r>
    </w:p>
    <w:p>
      <w:pPr>
        <w:spacing w:before="0" w:after="80" w:line="276" w:lineRule="auto"/>
      </w:pPr>
      <w:r>
        <w:rPr>
          <w:rFonts w:ascii="Aptos" w:hAnsi="Aptos"/>
          <w:b/>
          <w:color w:val="15498C"/>
          <w:sz w:val="17"/>
        </w:rPr>
        <w:t xml:space="preserve">SkillsFuture Credit  </w:t>
      </w:r>
    </w:p>
    <w:p>
      <w:pPr>
        <w:spacing w:before="0" w:after="80" w:line="276" w:lineRule="auto"/>
      </w:pPr>
      <w:r>
        <w:rPr>
          <w:rFonts w:ascii="Aptos" w:hAnsi="Aptos"/>
          <w:b/>
          <w:color w:val="15498C"/>
          <w:sz w:val="17"/>
        </w:rPr>
        <w:t xml:space="preserve">PSEA  </w:t>
      </w:r>
    </w:p>
    <w:p>
      <w:pPr>
        <w:spacing w:before="0" w:after="80" w:line="276" w:lineRule="auto"/>
      </w:pPr>
      <w:r>
        <w:rPr>
          <w:rFonts w:ascii="Aptos" w:hAnsi="Aptos"/>
          <w:b/>
          <w:color w:val="15498C"/>
          <w:sz w:val="17"/>
        </w:rPr>
        <w:t xml:space="preserve">SFEC  </w:t>
      </w:r>
    </w:p>
    <w:p>
      <w:pPr>
        <w:spacing w:before="0" w:after="80" w:line="276" w:lineRule="auto"/>
      </w:pPr>
      <w:r>
        <w:rPr>
          <w:rFonts w:ascii="Aptos" w:hAnsi="Aptos"/>
          <w:b/>
          <w:color w:val="15498C"/>
          <w:sz w:val="17"/>
        </w:rPr>
        <w:t xml:space="preserve">Absentee Payroll  </w:t>
      </w:r>
    </w:p>
    <w:p>
      <w:pPr>
        <w:spacing w:before="0" w:after="80" w:line="276" w:lineRule="auto"/>
      </w:pPr>
      <w:r>
        <w:rPr>
          <w:rFonts w:ascii="Aptos" w:hAnsi="Aptos"/>
          <w:b/>
          <w:color w:val="15498C"/>
          <w:sz w:val="17"/>
        </w:rPr>
        <w:t xml:space="preserve">MCES  </w:t>
      </w:r>
    </w:p>
    <w:p>
      <w:pPr>
        <w:keepNext/>
        <w:spacing w:before="200" w:after="120"/>
      </w:pPr>
      <w:r>
        <w:rPr>
          <w:rFonts w:ascii="Aptos" w:hAnsi="Aptos"/>
          <w:b/>
          <w:color w:val="10284B"/>
          <w:sz w:val="28"/>
        </w:rPr>
        <w:t>Plan your attendance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88"/>
        <w:gridCol w:w="7920"/>
      </w:tblGrid>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Duration</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3 days</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Training and assessment</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24 hours including 2 hours of assessment</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Mode</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Physical classroom or synchronised Zoom; corporate training available</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Venue</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12 Woodlands Square #07-85/86/87, Woods Square Tower 1, Singapore 737715</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Schedule</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9:30am–6:30pm on scheduled training days</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Assessment</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Written assessment and practical performance assessment, one hour each, individual open book</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Who should attend</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Business transformation, operations, IT, security and process owners who need evidence-led Copilot adoption and control decisions.</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Certification</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Certificate of Achievement from Tertiary Infotech Academy and, on meeting WSQ assessment and attendance requirements, SkillsFuture Singapore Statement of Attainment via OpenCerts.</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0"/>
        <w:gridCol w:w="2016"/>
      </w:tblGrid>
      <w:tr>
        <w:tc>
          <w:tcPr>
            <w:tcW w:type="dxa" w:w="5032"/>
            <w:shd w:fill="ECF7FA"/>
            <w:tcMar>
              <w:top w:w="145" w:type="dxa"/>
              <w:start w:w="170" w:type="dxa"/>
              <w:bottom w:w="145" w:type="dxa"/>
              <w:end w:w="170" w:type="dxa"/>
            </w:tcMar>
          </w:tcPr>
          <w:p>
            <w:pPr>
              <w:spacing w:after="100" w:line="259" w:lineRule="auto"/>
            </w:pPr>
            <w:r>
              <w:rPr>
                <w:rFonts w:ascii="Aptos" w:hAnsi="Aptos"/>
                <w:b/>
                <w:color w:val="10284B"/>
                <w:sz w:val="22"/>
              </w:rPr>
              <w:t>Ready to build your next capability?</w:t>
            </w:r>
          </w:p>
          <w:p>
            <w:pPr>
              <w:spacing w:after="100" w:line="259" w:lineRule="auto"/>
            </w:pPr>
            <w:r>
              <w:rPr>
                <w:rFonts w:ascii="Aptos" w:hAnsi="Aptos"/>
                <w:b w:val="0"/>
                <w:color w:val="5B6D81"/>
                <w:sz w:val="16"/>
              </w:rPr>
              <w:t>Scan the QR code or use the link to view current dates and register.</w:t>
            </w:r>
          </w:p>
          <w:p>
            <w:pPr>
              <w:spacing w:after="0"/>
            </w:pPr>
            <w:hyperlink r:id="rId11">
              <w:r>
                <w:rPr>
                  <w:color w:val="15498C"/>
                  <w:u w:val="single"/>
                </w:rPr>
                <w:t>www.tertiarycourses.com.sg/wsq-ai-transformation-with-microsoft-copilot.html</w:t>
              </w:r>
            </w:hyperlink>
          </w:p>
        </w:tc>
        <w:tc>
          <w:tcPr>
            <w:tcW w:type="dxa" w:w="5032"/>
            <w:shd w:fill="FFFFFF"/>
            <w:tcMar>
              <w:top w:w="70" w:type="dxa"/>
              <w:start w:w="75" w:type="dxa"/>
              <w:bottom w:w="55" w:type="dxa"/>
              <w:end w:w="75" w:type="dxa"/>
            </w:tcMar>
          </w:tcPr>
          <w:p>
            <w:pPr>
              <w:jc w:val="center"/>
            </w:pPr>
            <w:r>
              <w:drawing>
                <wp:inline xmlns:a="http://schemas.openxmlformats.org/drawingml/2006/main" xmlns:pic="http://schemas.openxmlformats.org/drawingml/2006/picture">
                  <wp:extent cx="1005840" cy="100584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spacing w:after="0"/>
              <w:jc w:val="center"/>
            </w:pPr>
            <w:r>
              <w:rPr>
                <w:rFonts w:ascii="Aptos" w:hAnsi="Aptos"/>
                <w:b/>
                <w:color w:val="15498C"/>
                <w:sz w:val="13"/>
              </w:rPr>
              <w:t>SCAN TO REGISTER</w:t>
            </w:r>
          </w:p>
        </w:tc>
      </w:tr>
    </w:tbl>
    <w:p>
      <w:pPr>
        <w:spacing w:before="0" w:after="0" w:line="276" w:lineRule="auto"/>
      </w:pPr>
      <w:r>
        <w:rPr>
          <w:rFonts w:ascii="Aptos" w:hAnsi="Aptos"/>
          <w:b w:val="0"/>
          <w:color w:val="5B6D81"/>
          <w:sz w:val="16"/>
        </w:rPr>
        <w:t>enquiry@tertiaryinfotech.com · +65 6100 0613</w:t>
      </w:r>
    </w:p>
    <w:sectPr w:rsidR="00FC693F" w:rsidRPr="0006063C" w:rsidSect="00034616">
      <w:footerReference w:type="default" r:id="rId9"/>
      <w:pgSz w:w="11909" w:h="16834"/>
      <w:pgMar w:top="792" w:right="922" w:bottom="79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B6D81"/>
        <w:sz w:val="14"/>
      </w:rPr>
      <w:t xml:space="preserve">Tertiary Infotech Academy  |  TGS-2024044051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6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tertiarycourses.com.sg/wsq-ai-transformation-with-microsoft-copilot.html" TargetMode="Externa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Transformation with Microsoft Copilot Course Brochure</dc:title>
  <dc:subject>TGS-2024044051 course description and fees</dc:subject>
  <dc:creator>Tertiary Infotech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