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051560" cy="1051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554480" cy="5176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q-logo-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517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AI Transformation with Microsoft Copilot</w:t>
      </w:r>
    </w:p>
    <w:p>
      <w:r>
        <w:t>Lesson Plan | TGS-2024044051 | v1.0 | 27 September 2026</w:t>
      </w:r>
    </w:p>
    <w:p>
      <w:r>
        <w:t>Conducted by Tertiary Infotech Academy Pte Ltd · UEN 201200696W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Material changes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27 September 2026</w:t>
            </w:r>
          </w:p>
        </w:tc>
        <w:tc>
          <w:tcPr>
            <w:tcW w:type="dxa" w:w="2160"/>
          </w:tcPr>
          <w:p>
            <w:r>
              <w:t>Complete replacement of legacy MS-700 content with Copilot implementation, security, agents and value assessment.</w:t>
            </w:r>
          </w:p>
        </w:tc>
        <w:tc>
          <w:tcPr>
            <w:tcW w:type="dxa" w:w="2160"/>
          </w:tcPr>
          <w:p>
            <w:r>
              <w:t>Tertiary Infotech Academy</w:t>
            </w:r>
          </w:p>
        </w:tc>
      </w:tr>
    </w:tbl>
    <w:p>
      <w:pPr>
        <w:pStyle w:val="Heading1"/>
      </w:pPr>
      <w:r>
        <w:t>Table of contents</w:t>
      </w:r>
    </w:p>
    <w:p>
      <w:pPr>
        <w:ind w:left="288"/>
      </w:pPr>
      <w:hyperlink w:anchor="day1">
        <w:r>
          <w:rPr>
            <w:color w:val="1F6FEB"/>
          </w:rPr>
          <w:t>Day 1 · LO1  ........................................  2</w:t>
        </w:r>
      </w:hyperlink>
    </w:p>
    <w:p>
      <w:pPr>
        <w:ind w:left="288"/>
      </w:pPr>
      <w:hyperlink w:anchor="day2">
        <w:r>
          <w:rPr>
            <w:color w:val="1F6FEB"/>
          </w:rPr>
          <w:t>Day 2 · LO2  ........................................  3</w:t>
        </w:r>
      </w:hyperlink>
    </w:p>
    <w:p>
      <w:pPr>
        <w:ind w:left="288"/>
      </w:pPr>
      <w:hyperlink w:anchor="day3">
        <w:r>
          <w:rPr>
            <w:color w:val="1F6FEB"/>
          </w:rPr>
          <w:t>Day 3 · LO3 and LO4  ........................................  3</w:t>
        </w:r>
      </w:hyperlink>
    </w:p>
    <w:p>
      <w:pPr>
        <w:ind w:left="288"/>
      </w:pPr>
      <w:hyperlink w:anchor="moderation">
        <w:r>
          <w:rPr>
            <w:color w:val="1F6FEB"/>
          </w:rPr>
          <w:t>Assessment and moderation  ........................................  3</w:t>
        </w:r>
      </w:hyperlink>
    </w:p>
    <w:p>
      <w:pPr>
        <w:ind w:left="288"/>
      </w:pPr>
      <w:hyperlink w:anchor="outcomemap">
        <w:r>
          <w:rPr>
            <w:color w:val="1F6FEB"/>
          </w:rPr>
          <w:t>Outcome-to-evidence map  ........................................  3</w:t>
        </w:r>
      </w:hyperlink>
    </w:p>
    <w:p>
      <w:pPr>
        <w:pStyle w:val="Heading1"/>
      </w:pPr>
      <w:r>
        <w:t>Course learning outcomes</w:t>
      </w:r>
    </w:p>
    <w:p>
      <w:pPr>
        <w:pStyle w:val="ListBullet"/>
      </w:pPr>
      <w:r>
        <w:t>LO1. Develop technology implementation plans and business processes for Microsoft Copilot.</w:t>
      </w:r>
    </w:p>
    <w:p>
      <w:pPr>
        <w:pStyle w:val="ListBullet"/>
      </w:pPr>
      <w:r>
        <w:t>LO2. Develop control procedures for Microsoft Copilot to manage security.</w:t>
      </w:r>
    </w:p>
    <w:p>
      <w:pPr>
        <w:pStyle w:val="ListBullet"/>
      </w:pPr>
      <w:r>
        <w:t>LO3. Evaluate the integration of Microsoft Copilot to ensure alignment with business objectives.</w:t>
      </w:r>
    </w:p>
    <w:p>
      <w:pPr>
        <w:pStyle w:val="ListBullet"/>
      </w:pPr>
      <w:r>
        <w:t>LO4. Develop optimization plans for Microsoft Copilot to improve business operations.</w:t>
      </w:r>
    </w:p>
    <w:p>
      <w:pPr>
        <w:pStyle w:val="Heading1"/>
      </w:pPr>
      <w:r>
        <w:t>Delivery structure</w:t>
      </w:r>
    </w:p>
    <w:p>
      <w:r>
        <w:t>Three days, 24 hours total: 22 guided training hours and 2 assessment hours. Each day includes breaks managed outside the teaching-hour allocations. Trainer adjusts pace to learner evidence while preserving outcome and assessment coverage.</w:t>
      </w:r>
    </w:p>
    <w:p>
      <w:bookmarkStart w:id="17089" w:name="day1"/>
      <w:pPr>
        <w:pStyle w:val="Heading2"/>
      </w:pPr>
      <w:r>
        <w:t>Day 1 · LO1</w:t>
      </w:r>
      <w:bookmarkEnd w:id="17089"/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Teaching / assessment and evidence</w:t>
            </w:r>
          </w:p>
        </w:tc>
      </w:tr>
      <w:tr>
        <w:tc>
          <w:tcPr>
            <w:tcW w:type="dxa" w:w="4320"/>
          </w:tcPr>
          <w:p>
            <w:r>
              <w:t>09:30–10:30</w:t>
            </w:r>
          </w:p>
        </w:tc>
        <w:tc>
          <w:tcPr>
            <w:tcW w:type="dxa" w:w="4320"/>
          </w:tcPr>
          <w:p>
            <w:r>
              <w:t>Copilot readiness and process baseline</w:t>
            </w:r>
          </w:p>
        </w:tc>
      </w:tr>
      <w:tr>
        <w:tc>
          <w:tcPr>
            <w:tcW w:type="dxa" w:w="4320"/>
          </w:tcPr>
          <w:p>
            <w:r>
              <w:t>10:30–12:30</w:t>
            </w:r>
          </w:p>
        </w:tc>
        <w:tc>
          <w:tcPr>
            <w:tcW w:type="dxa" w:w="4320"/>
          </w:tcPr>
          <w:p>
            <w:r>
              <w:t>Pilot cohort, Graph permissions and Labs 01–02</w:t>
            </w:r>
          </w:p>
        </w:tc>
      </w:tr>
      <w:tr>
        <w:tc>
          <w:tcPr>
            <w:tcW w:type="dxa" w:w="4320"/>
          </w:tcPr>
          <w:p>
            <w:r>
              <w:t>13:30–15:30</w:t>
            </w:r>
          </w:p>
        </w:tc>
        <w:tc>
          <w:tcPr>
            <w:tcW w:type="dxa" w:w="4320"/>
          </w:tcPr>
          <w:p>
            <w:r>
              <w:t>Grounding and document workflows, Lab 03</w:t>
            </w:r>
          </w:p>
        </w:tc>
      </w:tr>
      <w:tr>
        <w:tc>
          <w:tcPr>
            <w:tcW w:type="dxa" w:w="4320"/>
          </w:tcPr>
          <w:p>
            <w:r>
              <w:t>15:30–18:30</w:t>
            </w:r>
          </w:p>
        </w:tc>
        <w:tc>
          <w:tcPr>
            <w:tcW w:type="dxa" w:w="4320"/>
          </w:tcPr>
          <w:p>
            <w:r>
              <w:t>Office outputs, Teams actions and adoption planning</w:t>
            </w:r>
          </w:p>
        </w:tc>
      </w:tr>
    </w:tbl>
    <w:p>
      <w:r>
        <w:t>12:30–13:30 lunch is outside the eight contact hours. Short comfort pauses are managed within supervised reflection and feedback blocks. Retain learner artifacts and test results for each mapped lab.</w:t>
      </w:r>
    </w:p>
    <w:p>
      <w:bookmarkStart w:id="53638" w:name="day2"/>
      <w:pPr>
        <w:pStyle w:val="Heading2"/>
      </w:pPr>
      <w:r>
        <w:t>Day 2 · LO2</w:t>
      </w:r>
      <w:bookmarkEnd w:id="53638"/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Teaching / assessment and evidence</w:t>
            </w:r>
          </w:p>
        </w:tc>
      </w:tr>
      <w:tr>
        <w:tc>
          <w:tcPr>
            <w:tcW w:type="dxa" w:w="4320"/>
          </w:tcPr>
          <w:p>
            <w:r>
              <w:t>09:30–10:30</w:t>
            </w:r>
          </w:p>
        </w:tc>
        <w:tc>
          <w:tcPr>
            <w:tcW w:type="dxa" w:w="4320"/>
          </w:tcPr>
          <w:p>
            <w:r>
              <w:t>Identity, labels and DLP controls</w:t>
            </w:r>
          </w:p>
        </w:tc>
      </w:tr>
      <w:tr>
        <w:tc>
          <w:tcPr>
            <w:tcW w:type="dxa" w:w="4320"/>
          </w:tcPr>
          <w:p>
            <w:r>
              <w:t>10:30–12:30</w:t>
            </w:r>
          </w:p>
        </w:tc>
        <w:tc>
          <w:tcPr>
            <w:tcW w:type="dxa" w:w="4320"/>
          </w:tcPr>
          <w:p>
            <w:r>
              <w:t>Oversharing and retention, Lab 04</w:t>
            </w:r>
          </w:p>
        </w:tc>
      </w:tr>
      <w:tr>
        <w:tc>
          <w:tcPr>
            <w:tcW w:type="dxa" w:w="4320"/>
          </w:tcPr>
          <w:p>
            <w:r>
              <w:t>13:30–15:30</w:t>
            </w:r>
          </w:p>
        </w:tc>
        <w:tc>
          <w:tcPr>
            <w:tcW w:type="dxa" w:w="4320"/>
          </w:tcPr>
          <w:p>
            <w:r>
              <w:t>Audit, injection and fabrication tests, Lab 05</w:t>
            </w:r>
          </w:p>
        </w:tc>
      </w:tr>
      <w:tr>
        <w:tc>
          <w:tcPr>
            <w:tcW w:type="dxa" w:w="4320"/>
          </w:tcPr>
          <w:p>
            <w:r>
              <w:t>15:30–18:30</w:t>
            </w:r>
          </w:p>
        </w:tc>
        <w:tc>
          <w:tcPr>
            <w:tcW w:type="dxa" w:w="4320"/>
          </w:tcPr>
          <w:p>
            <w:r>
              <w:t>Permission design, environment policy and incident response</w:t>
            </w:r>
          </w:p>
        </w:tc>
      </w:tr>
    </w:tbl>
    <w:p>
      <w:r>
        <w:t>12:30–13:30 lunch is outside the eight contact hours. Short comfort pauses are managed within supervised reflection and feedback blocks. Retain learner artifacts and test results for each mapped lab.</w:t>
      </w:r>
    </w:p>
    <w:p>
      <w:bookmarkStart w:id="65911" w:name="day3"/>
      <w:pPr>
        <w:pStyle w:val="Heading2"/>
      </w:pPr>
      <w:r>
        <w:t>Day 3 · LO3 and LO4</w:t>
      </w:r>
      <w:bookmarkEnd w:id="65911"/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Teaching / assessment and evidence</w:t>
            </w:r>
          </w:p>
        </w:tc>
      </w:tr>
      <w:tr>
        <w:tc>
          <w:tcPr>
            <w:tcW w:type="dxa" w:w="4320"/>
          </w:tcPr>
          <w:p>
            <w:r>
              <w:t>09:30–11:30</w:t>
            </w:r>
          </w:p>
        </w:tc>
        <w:tc>
          <w:tcPr>
            <w:tcW w:type="dxa" w:w="4320"/>
          </w:tcPr>
          <w:p>
            <w:r>
              <w:t>Agent contracts, sources and integrations, Labs 06–07</w:t>
            </w:r>
          </w:p>
        </w:tc>
      </w:tr>
      <w:tr>
        <w:tc>
          <w:tcPr>
            <w:tcW w:type="dxa" w:w="4320"/>
          </w:tcPr>
          <w:p>
            <w:r>
              <w:t>11:30–12:30</w:t>
            </w:r>
          </w:p>
        </w:tc>
        <w:tc>
          <w:tcPr>
            <w:tcW w:type="dxa" w:w="4320"/>
          </w:tcPr>
          <w:p>
            <w:r>
              <w:t>Foundry, MCP and A2A decision controls, Lab 08</w:t>
            </w:r>
          </w:p>
        </w:tc>
      </w:tr>
      <w:tr>
        <w:tc>
          <w:tcPr>
            <w:tcW w:type="dxa" w:w="4320"/>
          </w:tcPr>
          <w:p>
            <w:r>
              <w:t>13:30–16:30</w:t>
            </w:r>
          </w:p>
        </w:tc>
        <w:tc>
          <w:tcPr>
            <w:tcW w:type="dxa" w:w="4320"/>
          </w:tcPr>
          <w:p>
            <w:r>
              <w:t>Telemetry, ROI, quality and rollout gates, Labs 09–10</w:t>
            </w:r>
          </w:p>
        </w:tc>
      </w:tr>
      <w:tr>
        <w:tc>
          <w:tcPr>
            <w:tcW w:type="dxa" w:w="4320"/>
          </w:tcPr>
          <w:p>
            <w:r>
              <w:t>16:30–17:30</w:t>
            </w:r>
          </w:p>
        </w:tc>
        <w:tc>
          <w:tcPr>
            <w:tcW w:type="dxa" w:w="4320"/>
          </w:tcPr>
          <w:p>
            <w:r>
              <w:t>Written Assessment (SAQ)</w:t>
            </w:r>
          </w:p>
        </w:tc>
      </w:tr>
      <w:tr>
        <w:tc>
          <w:tcPr>
            <w:tcW w:type="dxa" w:w="4320"/>
          </w:tcPr>
          <w:p>
            <w:r>
              <w:t>17:30–18:30</w:t>
            </w:r>
          </w:p>
        </w:tc>
        <w:tc>
          <w:tcPr>
            <w:tcW w:type="dxa" w:w="4320"/>
          </w:tcPr>
          <w:p>
            <w:r>
              <w:t>Practical Performance Assessment</w:t>
            </w:r>
          </w:p>
        </w:tc>
      </w:tr>
    </w:tbl>
    <w:p>
      <w:r>
        <w:t>12:30–13:30 lunch is outside the eight contact hours. Short comfort pauses are managed within supervised reflection and feedback blocks. Retain learner artifacts and test results for each mapped lab.</w:t>
      </w:r>
    </w:p>
    <w:p>
      <w:bookmarkStart w:id="51609" w:name="moderation"/>
      <w:pPr>
        <w:pStyle w:val="Heading1"/>
      </w:pPr>
      <w:r>
        <w:t>Assessment and moderation</w:t>
      </w:r>
      <w:bookmarkEnd w:id="51609"/>
    </w:p>
    <w:p>
      <w:r>
        <w:t>Day 3: Written Assessment (60 minutes) and Practical Performance (60 minutes). Verify identity, explain open-book rules, collect candidate artifacts, assess each criterion C/NYC, and record assessor name, date and rationale. Keep answer keys trainer-only.</w:t>
      </w:r>
    </w:p>
    <w:p>
      <w:bookmarkStart w:id="39167" w:name="outcomemap"/>
      <w:pPr>
        <w:pStyle w:val="Heading1"/>
      </w:pPr>
      <w:r>
        <w:t>Outcome-to-evidence map</w:t>
      </w:r>
      <w:bookmarkEnd w:id="39167"/>
    </w:p>
    <w:p>
      <w:r>
        <w:t>LO1: Topic 1; slide cases NS-01, NS-02, NS-03, NS-04, NS-05, NS-06, NS-07, NS-08, NS-09, NS-10, NS-11, NS-12, NS-13; practical task 1.</w:t>
      </w:r>
    </w:p>
    <w:p>
      <w:r>
        <w:t>LO2: Topic 2; slide cases NS-14, NS-15, NS-16, NS-17, NS-18, NS-19, NS-20, NS-21, NS-22, NS-23, NS-24, NS-25; practical task 2.</w:t>
      </w:r>
    </w:p>
    <w:p>
      <w:r>
        <w:t>LO3: Topic 3; slide cases NS-26, NS-27, NS-28, NS-29, NS-30, NS-31, NS-32, NS-33, NS-34, NS-35, NS-36, NS-37, NS-38; practical task 3.</w:t>
      </w:r>
    </w:p>
    <w:p>
      <w:r>
        <w:t>LO4: Topic 4; slide cases NS-39, NS-40, NS-41, NS-42, NS-43, NS-44, NS-45, NS-46, NS-47, NS-48, NS-49, NS-50; practical task 4.</w:t>
      </w:r>
    </w:p>
    <w:sectPr w:rsidR="00FC693F" w:rsidRPr="0006063C" w:rsidSect="00034616">
      <w:headerReference w:type="default" r:id="rId9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© 2026 Tertiary Infotech Academy Pte Ltd · www.tertiarycourses.com.sg · Page </w:t>
    </w:r>
    <w:r>
      <w:fldChar w:fldCharType="begin"/>
    </w:r>
    <w:r>
      <w:instrText xml:space="preserve">PAGE</w:instrText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TERTIARY INFOTECH ACADEMY · WSQ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