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508760" cy="1508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vider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1508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Assessment Plan</w:t>
      </w:r>
    </w:p>
    <w:p>
      <w:pPr>
        <w:pStyle w:val="Subtitle"/>
      </w:pPr>
      <w:r>
        <w:t>AI Transformation with Microsoft Copilot</w:t>
      </w:r>
    </w:p>
    <w:p>
      <w:r>
        <w:t>TGS-2024044051  •  v3.0  •  28 September 2026  •  WSQ  •  3 days / 24 hours</w:t>
      </w:r>
    </w:p>
    <w:p>
      <w:r>
        <w:t>Tertiary Infotech Academy Pte Ltd  •  UEN 201200696W</w:t>
      </w:r>
    </w:p>
    <w:p>
      <w:r>
        <w:t>Trainer controlled document. Use synthetic learner data only.</w:t>
      </w:r>
    </w:p>
    <w:p>
      <w:pPr>
        <w:pStyle w:val="Heading1"/>
      </w:pPr>
      <w:r>
        <w:t>Assessment overview</w:t>
      </w:r>
    </w:p>
    <w:p>
      <w:r>
        <w:t>Assess the four approved WSQ outcomes with one Written Assessment (WA) and one Practical Performance (PP). The final two hours are part of the 24-hour course. Candidate work uses synthetic Northstar Service data and may use an approved Copilot work account or a clearly labelled offline equivalent.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Method</w:t>
            </w:r>
          </w:p>
        </w:tc>
        <w:tc>
          <w:tcPr>
            <w:tcW w:type="dxa" w:w="2484"/>
          </w:tcPr>
          <w:p>
            <w:r>
              <w:t>Duration</w:t>
            </w:r>
          </w:p>
        </w:tc>
        <w:tc>
          <w:tcPr>
            <w:tcW w:type="dxa" w:w="2484"/>
          </w:tcPr>
          <w:p>
            <w:r>
              <w:t>Candidate evidence</w:t>
            </w:r>
          </w:p>
        </w:tc>
        <w:tc>
          <w:tcPr>
            <w:tcW w:type="dxa" w:w="2484"/>
          </w:tcPr>
          <w:p>
            <w:r>
              <w:t>Decision</w:t>
            </w:r>
          </w:p>
        </w:tc>
      </w:tr>
      <w:tr>
        <w:tc>
          <w:tcPr>
            <w:tcW w:type="dxa" w:w="2484"/>
          </w:tcPr>
          <w:p>
            <w:r>
              <w:t>WA</w:t>
            </w:r>
          </w:p>
        </w:tc>
        <w:tc>
          <w:tcPr>
            <w:tcW w:type="dxa" w:w="2484"/>
          </w:tcPr>
          <w:p>
            <w:r>
              <w:t>60 min</w:t>
            </w:r>
          </w:p>
        </w:tc>
        <w:tc>
          <w:tcPr>
            <w:tcW w:type="dxa" w:w="2484"/>
          </w:tcPr>
          <w:p>
            <w:r>
              <w:t>Three applied executive questions covering K1–K3</w:t>
            </w:r>
          </w:p>
        </w:tc>
        <w:tc>
          <w:tcPr>
            <w:tcW w:type="dxa" w:w="2484"/>
          </w:tcPr>
          <w:p>
            <w:r>
              <w:t>C/NYC against controlled marking guide</w:t>
            </w:r>
          </w:p>
        </w:tc>
      </w:tr>
      <w:tr>
        <w:tc>
          <w:tcPr>
            <w:tcW w:type="dxa" w:w="2484"/>
          </w:tcPr>
          <w:p>
            <w:r>
              <w:t>PP</w:t>
            </w:r>
          </w:p>
        </w:tc>
        <w:tc>
          <w:tcPr>
            <w:tcW w:type="dxa" w:w="2484"/>
          </w:tcPr>
          <w:p>
            <w:r>
              <w:t>60 min</w:t>
            </w:r>
          </w:p>
        </w:tc>
        <w:tc>
          <w:tcPr>
            <w:tcW w:type="dxa" w:w="2484"/>
          </w:tcPr>
          <w:p>
            <w:r>
              <w:t>Four decision artifacts covering A1–A5</w:t>
            </w:r>
          </w:p>
        </w:tc>
        <w:tc>
          <w:tcPr>
            <w:tcW w:type="dxa" w:w="2484"/>
          </w:tcPr>
          <w:p>
            <w:r>
              <w:t>C/NYC against controlled evidence rubric</w:t>
            </w:r>
          </w:p>
        </w:tc>
      </w:tr>
    </w:tbl>
    <w:p>
      <w:pPr>
        <w:pStyle w:val="Heading1"/>
      </w:pPr>
      <w:r>
        <w:t>Outcome and criterion map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Outcome</w:t>
            </w:r>
          </w:p>
        </w:tc>
        <w:tc>
          <w:tcPr>
            <w:tcW w:type="dxa" w:w="3312"/>
          </w:tcPr>
          <w:p>
            <w:r>
              <w:t>Knowledge evidence</w:t>
            </w:r>
          </w:p>
        </w:tc>
        <w:tc>
          <w:tcPr>
            <w:tcW w:type="dxa" w:w="3312"/>
          </w:tcPr>
          <w:p>
            <w:r>
              <w:t>Performance evidence</w:t>
            </w:r>
          </w:p>
        </w:tc>
      </w:tr>
      <w:tr>
        <w:tc>
          <w:tcPr>
            <w:tcW w:type="dxa" w:w="3312"/>
          </w:tcPr>
          <w:p>
            <w:r>
              <w:t>LO1 · Implementation and process</w:t>
            </w:r>
          </w:p>
        </w:tc>
        <w:tc>
          <w:tcPr>
            <w:tcW w:type="dxa" w:w="3312"/>
          </w:tcPr>
          <w:p>
            <w:r>
              <w:t>K1 · outcome, pilot, Copilot use and baseline</w:t>
            </w:r>
          </w:p>
        </w:tc>
        <w:tc>
          <w:tcPr>
            <w:tcW w:type="dxa" w:w="3312"/>
          </w:tcPr>
          <w:p>
            <w:r>
              <w:t>A1–A2 · business-use artifact and pilot plan</w:t>
            </w:r>
          </w:p>
        </w:tc>
      </w:tr>
      <w:tr>
        <w:tc>
          <w:tcPr>
            <w:tcW w:type="dxa" w:w="3312"/>
          </w:tcPr>
          <w:p>
            <w:r>
              <w:t>LO2 · Security controls</w:t>
            </w:r>
          </w:p>
        </w:tc>
        <w:tc>
          <w:tcPr>
            <w:tcW w:type="dxa" w:w="3312"/>
          </w:tcPr>
          <w:p>
            <w:r>
              <w:t>K2 · sources, verification and human approval</w:t>
            </w:r>
          </w:p>
        </w:tc>
        <w:tc>
          <w:tcPr>
            <w:tcW w:type="dxa" w:w="3312"/>
          </w:tcPr>
          <w:p>
            <w:r>
              <w:t>A3 · workflow design and control card</w:t>
            </w:r>
          </w:p>
        </w:tc>
      </w:tr>
      <w:tr>
        <w:tc>
          <w:tcPr>
            <w:tcW w:type="dxa" w:w="3312"/>
          </w:tcPr>
          <w:p>
            <w:r>
              <w:t>LO3 · Integration alignment</w:t>
            </w:r>
          </w:p>
        </w:tc>
        <w:tc>
          <w:tcPr>
            <w:tcW w:type="dxa" w:w="3312"/>
          </w:tcPr>
          <w:p>
            <w:r>
              <w:t>K3 · agent purpose, instructions, knowledge, tests and sharing</w:t>
            </w:r>
          </w:p>
        </w:tc>
        <w:tc>
          <w:tcPr>
            <w:tcW w:type="dxa" w:w="3312"/>
          </w:tcPr>
          <w:p>
            <w:r>
              <w:t>A4 · agent design and test record</w:t>
            </w:r>
          </w:p>
        </w:tc>
      </w:tr>
      <w:tr>
        <w:tc>
          <w:tcPr>
            <w:tcW w:type="dxa" w:w="3312"/>
          </w:tcPr>
          <w:p>
            <w:r>
              <w:t>LO4 · Optimization</w:t>
            </w:r>
          </w:p>
        </w:tc>
        <w:tc>
          <w:tcPr>
            <w:tcW w:type="dxa" w:w="3312"/>
          </w:tcPr>
          <w:p>
            <w:r>
              <w:t>K3 · adoption, quality, risk and value</w:t>
            </w:r>
          </w:p>
        </w:tc>
        <w:tc>
          <w:tcPr>
            <w:tcW w:type="dxa" w:w="3312"/>
          </w:tcPr>
          <w:p>
            <w:r>
              <w:t>A5 · value model and board go/hold recommendation</w:t>
            </w:r>
          </w:p>
        </w:tc>
      </w:tr>
    </w:tbl>
    <w:p>
      <w:pPr>
        <w:pStyle w:val="Heading1"/>
      </w:pPr>
      <w:r>
        <w:t>Administration</w:t>
      </w:r>
    </w:p>
    <w:p>
      <w:pPr>
        <w:pStyle w:val="ListBullet"/>
      </w:pPr>
      <w:r>
        <w:t>Confirm candidate identity and issue only the current v3.0 WA/PP candidate papers. Keep answer keys and assessor decisions outside public learner locations.</w:t>
      </w:r>
    </w:p>
    <w:p>
      <w:pPr>
        <w:pStyle w:val="ListBullet"/>
      </w:pPr>
      <w:r>
        <w:t>State time, open-book rules, permitted synthetic data, tool access and submission format before starting. An offline path must be labelled simulated.</w:t>
      </w:r>
    </w:p>
    <w:p>
      <w:pPr>
        <w:pStyle w:val="ListBullet"/>
      </w:pPr>
      <w:r>
        <w:t>Provide approved reasonable adjustments without changing the standard. Record the adjustment and the evidence still required.</w:t>
      </w:r>
    </w:p>
    <w:p>
      <w:pPr>
        <w:pStyle w:val="ListBullet"/>
      </w:pPr>
      <w:r>
        <w:t>Collect each candidate's own source-backed decision artifacts; do not coach toward a particular recommendation.</w:t>
      </w:r>
    </w:p>
    <w:p>
      <w:r>
        <w:br w:type="page"/>
      </w:r>
    </w:p>
    <w:p>
      <w:pPr>
        <w:pStyle w:val="Heading1"/>
      </w:pPr>
      <w:r>
        <w:t>Evidence and decision</w:t>
      </w:r>
    </w:p>
    <w:p>
      <w:pPr>
        <w:pStyle w:val="ListBullet"/>
      </w:pPr>
      <w:r>
        <w:t>Check the source behind each material claim and figure. Reject unsupported savings or a simulated action described as deployed.</w:t>
      </w:r>
    </w:p>
    <w:p>
      <w:pPr>
        <w:pStyle w:val="ListBullet"/>
      </w:pPr>
      <w:r>
        <w:t>Check decision owner, approval gate, counterargument, risk response and a measurable outcome for every relevant task.</w:t>
      </w:r>
    </w:p>
    <w:p>
      <w:pPr>
        <w:pStyle w:val="ListBullet"/>
      </w:pPr>
      <w:r>
        <w:t>Award Competent only when every required criterion is met. Otherwise record Not Yet Competent with the specific gap and reassessment action.</w:t>
      </w:r>
    </w:p>
    <w:p>
      <w:pPr>
        <w:pStyle w:val="ListBullet"/>
      </w:pPr>
      <w:r>
        <w:t>Store submissions, assessor decisions and reassessment records in the approved controlled location under provider retention rules.</w:t>
      </w:r>
    </w:p>
    <w:p>
      <w:pPr>
        <w:pStyle w:val="Heading1"/>
      </w:pPr>
      <w:r>
        <w:t>Related documents</w:t>
      </w:r>
    </w:p>
    <w:p>
      <w:r>
        <w:t>Use the v3.0 Trainer Slides, Learner Guide, Lesson Plan and ten executive labs for instruction. The WA and PP candidate papers are the only learner-facing assessment instruments; marking guides are assessor-only.</w:t>
      </w:r>
    </w:p>
    <w:sectPr w:rsidR="00FC693F" w:rsidRPr="0006063C" w:rsidSect="00034616">
      <w:footerReference w:type="default" r:id="rId10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Tertiary Infotech Academy  •  TGS-2024044051  •  Assessment Plan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32F5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32F53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32F5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