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Empowering Employee Health and Wellness at the Workplace</w:t>
      </w:r>
    </w:p>
    <w:p>
      <w:pPr>
        <w:spacing w:before="80" w:after="280"/>
        <w:jc w:val="center"/>
      </w:pPr>
      <w:r>
        <w:rPr>
          <w:b w:val="0"/>
          <w:color w:val="111827"/>
          <w:sz w:val="24"/>
        </w:rPr>
        <w:t>TGS Ref No: TGS-2024045222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8.0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1F6FEB"/>
          </w:tcPr>
          <w:p>
            <w:r/>
            <w:r>
              <w:rPr>
                <w:b/>
                <w:color w:val="FFFFFF"/>
                <w:sz w:val="19"/>
              </w:rPr>
              <w:t>Version Number</w:t>
            </w:r>
          </w:p>
        </w:tc>
        <w:tc>
          <w:tcPr>
            <w:tcW w:type="dxa" w:w="2484"/>
            <w:shd w:val="clear" w:color="auto" w:fill="1F6FEB"/>
          </w:tcPr>
          <w:p>
            <w:r/>
            <w:r>
              <w:rPr>
                <w:b/>
                <w:color w:val="FFFFFF"/>
                <w:sz w:val="19"/>
              </w:rPr>
              <w:t>Effective Date of Release</w:t>
            </w:r>
          </w:p>
        </w:tc>
        <w:tc>
          <w:tcPr>
            <w:tcW w:type="dxa" w:w="2484"/>
            <w:shd w:val="clear" w:color="auto" w:fill="1F6FEB"/>
          </w:tcPr>
          <w:p>
            <w:r/>
            <w:r>
              <w:rPr>
                <w:b/>
                <w:color w:val="FFFFFF"/>
                <w:sz w:val="19"/>
              </w:rPr>
              <w:t>Summary of Included Changes</w:t>
            </w:r>
          </w:p>
        </w:tc>
        <w:tc>
          <w:tcPr>
            <w:tcW w:type="dxa" w:w="2484"/>
            <w:shd w:val="clear" w:color="auto" w:fill="1F6FEB"/>
          </w:tcPr>
          <w:p>
            <w:r/>
            <w:r>
              <w:rPr>
                <w:b/>
                <w:color w:val="FFFFFF"/>
                <w:sz w:val="19"/>
              </w:rPr>
              <w:t>Author</w:t>
            </w:r>
          </w:p>
        </w:tc>
      </w:tr>
      <w:tr>
        <w:tc>
          <w:tcPr>
            <w:tcW w:type="dxa" w:w="2484"/>
          </w:tcPr>
          <w:p>
            <w:r/>
            <w:r>
              <w:rPr>
                <w:sz w:val="19"/>
              </w:rPr>
              <w:t>8.0</w:t>
            </w:r>
          </w:p>
        </w:tc>
        <w:tc>
          <w:tcPr>
            <w:tcW w:type="dxa" w:w="2484"/>
          </w:tcPr>
          <w:p>
            <w:r/>
            <w:r>
              <w:rPr>
                <w:sz w:val="19"/>
              </w:rPr>
              <w:t>16 August 2026</w:t>
            </w:r>
          </w:p>
        </w:tc>
        <w:tc>
          <w:tcPr>
            <w:tcW w:type="dxa" w:w="2484"/>
          </w:tcPr>
          <w:p>
            <w:r/>
            <w:r>
              <w:rPr>
                <w:sz w:val="19"/>
              </w:rPr>
              <w:t>Rebuilt source-aligned workplace health and wellness courseware with ten real-use-case activity packs and detailed learner procedures.</w:t>
            </w:r>
          </w:p>
        </w:tc>
        <w:tc>
          <w:tcPr>
            <w:tcW w:type="dxa" w:w="2484"/>
          </w:tcPr>
          <w:p>
            <w:r/>
            <w:r>
              <w:rPr>
                <w:sz w:val="19"/>
              </w:rPr>
              <w:t>Dr. Alfred Ang</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How to Use This Guide</w:t>
      </w:r>
    </w:p>
    <w:p>
      <w:r>
        <w:t>Read the concept section before each activity, then complete the activity in its individual folder. Detailed procedures belong here and in the activity Markdown files; the slide deck remains visual and concept-led.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Evidence boundary: </w:t>
            </w:r>
            <w:r>
              <w:t>Each activity uses a documented real event as context. All organisation details, metrics and operational inputs not in the cited source are explicitly fictional training assumptions.</w:t>
            </w:r>
          </w:p>
        </w:tc>
      </w:tr>
    </w:tbl>
    <w:p>
      <w:pPr>
        <w:pStyle w:val="Heading1"/>
      </w:pPr>
      <w:r>
        <w:t>Course Learning Outcomes and TSC Mapping</w:t>
      </w:r>
    </w:p>
    <w:p>
      <w:pPr>
        <w:pStyle w:val="ListBullet"/>
      </w:pPr>
      <w:r>
        <w:t>LO1: Identify workplace health and wellness trends, technologies and research implications for employees and the organisation.</w:t>
      </w:r>
    </w:p>
    <w:p>
      <w:pPr>
        <w:pStyle w:val="ListBullet"/>
      </w:pPr>
      <w:r>
        <w:t>LO2: Implement inclusive health and wellness programmes for different employee groups and translate policies into day-to-day practices.</w:t>
      </w:r>
    </w:p>
    <w:p>
      <w:pPr>
        <w:pStyle w:val="ListBullet"/>
      </w:pPr>
      <w:r>
        <w:t>LO3: Communicate programme benefits through appropriate channels and assess effectiveness using employee feedback and programme evidence.</w:t>
      </w:r>
    </w:p>
    <w:p>
      <w:pPr>
        <w:pStyle w:val="Heading2"/>
      </w:pPr>
      <w:r>
        <w:t>Knowledge</w:t>
      </w:r>
    </w:p>
    <w:p>
      <w:pPr>
        <w:pStyle w:val="ListBullet"/>
      </w:pPr>
      <w:r>
        <w:t>K1: Legislative and organisational requirements related to the collection, use and protection of employee health and wellness data</w:t>
      </w:r>
    </w:p>
    <w:p>
      <w:pPr>
        <w:pStyle w:val="ListBullet"/>
      </w:pPr>
      <w:r>
        <w:t>K2: Factors that impact employee health and wellness</w:t>
      </w:r>
    </w:p>
    <w:p>
      <w:pPr>
        <w:pStyle w:val="ListBullet"/>
      </w:pPr>
      <w:r>
        <w:t>K3: Trends and technology that promote healthy lifestyles</w:t>
      </w:r>
    </w:p>
    <w:p>
      <w:pPr>
        <w:pStyle w:val="ListBullet"/>
      </w:pPr>
      <w:r>
        <w:t>K4: Types of employee health and wellness programmes</w:t>
      </w:r>
    </w:p>
    <w:p>
      <w:pPr>
        <w:pStyle w:val="ListBullet"/>
      </w:pPr>
      <w:r>
        <w:t>K5: Guidelines for translating health and wellness policies into day-to-day practices</w:t>
      </w:r>
    </w:p>
    <w:p>
      <w:pPr>
        <w:pStyle w:val="ListBullet"/>
      </w:pPr>
      <w:r>
        <w:t>K6: Benefits of employee health and wellness programmes</w:t>
      </w:r>
    </w:p>
    <w:p>
      <w:pPr>
        <w:pStyle w:val="ListBullet"/>
      </w:pPr>
      <w:r>
        <w:t>K7: Communication techniques and channels for health and wellness programmes</w:t>
      </w:r>
    </w:p>
    <w:p>
      <w:pPr>
        <w:pStyle w:val="Heading2"/>
      </w:pPr>
      <w:r>
        <w:t>Abilities</w:t>
      </w:r>
    </w:p>
    <w:p>
      <w:pPr>
        <w:pStyle w:val="ListBullet"/>
      </w:pPr>
      <w:r>
        <w:t>A1: Identify trends and technologies that promote healthy lifestyles</w:t>
      </w:r>
    </w:p>
    <w:p>
      <w:pPr>
        <w:pStyle w:val="ListBullet"/>
      </w:pPr>
      <w:r>
        <w:t>A2: Research best practices in employee health and wellness</w:t>
      </w:r>
    </w:p>
    <w:p>
      <w:pPr>
        <w:pStyle w:val="ListBullet"/>
      </w:pPr>
      <w:r>
        <w:t>A3: Identify the current health and wellness state of different employee groups</w:t>
      </w:r>
    </w:p>
    <w:p>
      <w:pPr>
        <w:pStyle w:val="ListBullet"/>
      </w:pPr>
      <w:r>
        <w:t>A4: Implement health and wellness programmes according to plan</w:t>
      </w:r>
    </w:p>
    <w:p>
      <w:pPr>
        <w:pStyle w:val="ListBullet"/>
      </w:pPr>
      <w:r>
        <w:t>A5: Communicate programme benefits using appropriate techniques and channels</w:t>
      </w:r>
    </w:p>
    <w:p>
      <w:pPr>
        <w:pStyle w:val="ListBullet"/>
      </w:pPr>
      <w:r>
        <w:t>A6: Gather employee feedback on health and wellness programmes</w:t>
      </w:r>
    </w:p>
    <w:p>
      <w:pPr>
        <w:pStyle w:val="Heading1"/>
      </w:pPr>
      <w:r>
        <w:t>The Real-Event Activity Portfolio</w:t>
      </w:r>
    </w:p>
    <w:p>
      <w:r>
        <w:t>Activities 1–10 use published research and current Singapore guidance from PDPC, TAFEP and HPB as real-world anchors. Every activity is self-contained and distinguishes sourced evidence from simulated workplace data.</w:t>
      </w:r>
    </w:p>
    <w:p>
      <w:r>
        <w:rPr>
          <w:b/>
        </w:rPr>
        <w:t xml:space="preserve">Activity 1 — Privacy-Safe Wearable Wellness Pilot: </w:t>
      </w:r>
      <w:hyperlink r:id="rId10">
        <w:r>
          <w:rPr>
            <w:color w:val="1F6FEB"/>
            <w:u w:val="single"/>
          </w:rPr>
          <w:t>primary case source</w:t>
        </w:r>
      </w:hyperlink>
    </w:p>
    <w:p>
      <w:r>
        <w:rPr>
          <w:b/>
        </w:rPr>
        <w:t xml:space="preserve">Activity 2 — Segmented Workforce Wellbeing Needs Assessment: </w:t>
      </w:r>
      <w:hyperlink r:id="rId11">
        <w:r>
          <w:rPr>
            <w:color w:val="1F6FEB"/>
            <w:u w:val="single"/>
          </w:rPr>
          <w:t>primary case source</w:t>
        </w:r>
      </w:hyperlink>
    </w:p>
    <w:p>
      <w:r>
        <w:rPr>
          <w:b/>
        </w:rPr>
        <w:t xml:space="preserve">Activity 3 — Evidence and Technology Selection Board: </w:t>
      </w:r>
      <w:hyperlink r:id="rId12">
        <w:r>
          <w:rPr>
            <w:color w:val="1F6FEB"/>
            <w:u w:val="single"/>
          </w:rPr>
          <w:t>primary case source</w:t>
        </w:r>
      </w:hyperlink>
    </w:p>
    <w:p>
      <w:r>
        <w:rPr>
          <w:b/>
        </w:rPr>
        <w:t xml:space="preserve">Activity 4 — Resilience Ecosystem After a Service Surge: </w:t>
      </w:r>
      <w:hyperlink r:id="rId13">
        <w:r>
          <w:rPr>
            <w:color w:val="1F6FEB"/>
            <w:u w:val="single"/>
          </w:rPr>
          <w:t>primary case source</w:t>
        </w:r>
      </w:hyperlink>
    </w:p>
    <w:p>
      <w:r>
        <w:rPr>
          <w:b/>
        </w:rPr>
        <w:t xml:space="preserve">Activity 5 — Whole-Person Wellness Programme Portfolio: </w:t>
      </w:r>
      <w:hyperlink r:id="rId14">
        <w:r>
          <w:rPr>
            <w:color w:val="1F6FEB"/>
            <w:u w:val="single"/>
          </w:rPr>
          <w:t>primary case source</w:t>
        </w:r>
      </w:hyperlink>
    </w:p>
    <w:p>
      <w:r>
        <w:rPr>
          <w:b/>
        </w:rPr>
        <w:t xml:space="preserve">Activity 6 — Mental-Wellbeing Policy-to-Practice Playbook: </w:t>
      </w:r>
      <w:hyperlink r:id="rId15">
        <w:r>
          <w:rPr>
            <w:color w:val="1F6FEB"/>
            <w:u w:val="single"/>
          </w:rPr>
          <w:t>primary case source</w:t>
        </w:r>
      </w:hyperlink>
    </w:p>
    <w:p>
      <w:r>
        <w:rPr>
          <w:b/>
        </w:rPr>
        <w:t xml:space="preserve">Activity 7 — Participation and Partnership Recovery Plan: </w:t>
      </w:r>
      <w:hyperlink r:id="rId12">
        <w:r>
          <w:rPr>
            <w:color w:val="1F6FEB"/>
            <w:u w:val="single"/>
          </w:rPr>
          <w:t>primary case source</w:t>
        </w:r>
      </w:hyperlink>
    </w:p>
    <w:p>
      <w:r>
        <w:rPr>
          <w:b/>
        </w:rPr>
        <w:t xml:space="preserve">Activity 8 — Inclusive Multi-Channel Wellbeing Campaign: </w:t>
      </w:r>
      <w:hyperlink r:id="rId11">
        <w:r>
          <w:rPr>
            <w:color w:val="1F6FEB"/>
            <w:u w:val="single"/>
          </w:rPr>
          <w:t>primary case source</w:t>
        </w:r>
      </w:hyperlink>
    </w:p>
    <w:p>
      <w:r>
        <w:rPr>
          <w:b/>
        </w:rPr>
        <w:t xml:space="preserve">Activity 9 — Employee Feedback and Listening System: </w:t>
      </w:r>
      <w:hyperlink r:id="rId16">
        <w:r>
          <w:rPr>
            <w:color w:val="1F6FEB"/>
            <w:u w:val="single"/>
          </w:rPr>
          <w:t>primary case source</w:t>
        </w:r>
      </w:hyperlink>
    </w:p>
    <w:p>
      <w:r>
        <w:rPr>
          <w:b/>
        </w:rPr>
        <w:t xml:space="preserve">Activity 10 — Wellbeing Programme Management Review: </w:t>
      </w:r>
      <w:hyperlink r:id="rId17">
        <w:r>
          <w:rPr>
            <w:color w:val="1F6FEB"/>
            <w:u w:val="single"/>
          </w:rPr>
          <w:t>primary case source</w:t>
        </w:r>
      </w:hyperlink>
    </w:p>
    <w:p>
      <w:pPr>
        <w:pStyle w:val="Heading1"/>
        <w:keepNext/>
      </w:pPr>
      <w:r>
        <w:t>Topic 1 — Workplace Health, Wellness and Evidence</w:t>
      </w:r>
    </w:p>
    <w:p>
      <w:r>
        <w:t>TSC mapping: K1 · K2 · K3 · A1 · A2. wellbeing dimensions · Singapore requirements · needs · trends · technology · evidence.</w:t>
      </w:r>
    </w:p>
    <w:p>
      <w:pPr>
        <w:pStyle w:val="Heading2"/>
      </w:pPr>
      <w:r>
        <w:t>Key Concepts</w:t>
      </w:r>
    </w:p>
    <w:p>
      <w:pPr>
        <w:pStyle w:val="ListBullet"/>
      </w:pPr>
      <w:r>
        <w:t>Health: A state and capability shaped by physical, mental and social conditions—not merely the absence of illness.</w:t>
      </w:r>
    </w:p>
    <w:p>
      <w:pPr>
        <w:pStyle w:val="ListBullet"/>
      </w:pPr>
      <w:r>
        <w:t>Wellness: Intentional practices and enabling conditions that support people to function and thrive.</w:t>
      </w:r>
    </w:p>
    <w:p>
      <w:pPr>
        <w:pStyle w:val="ListBullet"/>
      </w:pPr>
      <w:r>
        <w:t>Evidence: A useful decision separates verified facts, workforce data, professional judgement and assumptions.</w:t>
      </w:r>
    </w:p>
    <w:p>
      <w:pPr>
        <w:pStyle w:val="ListBullet"/>
      </w:pPr>
      <w:r>
        <w:t>System: Job design, managers, culture, access and individual resources interact; a perk alone is not a strategy.</w:t>
      </w:r>
    </w:p>
    <w:p>
      <w:pPr>
        <w:pStyle w:val="Heading2"/>
      </w:pPr>
      <w:r>
        <w:t>Wellbeing is an operating condition, not a collection of perks.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Wellbeing is an operating condition, not a collection of perks. Design work and support so that people can be healthy, contribute and recover sustainably.</w:t>
            </w:r>
          </w:p>
        </w:tc>
      </w:tr>
    </w:tbl>
    <w:p>
      <w:pPr>
        <w:pStyle w:val="Heading2"/>
      </w:pPr>
      <w:r>
        <w:t>Health and wellness: related, not interchangeable</w:t>
      </w:r>
    </w:p>
    <w:p>
      <w:pPr>
        <w:pStyle w:val="Heading3"/>
      </w:pPr>
      <w:r>
        <w:t>Perspective A</w:t>
      </w:r>
    </w:p>
    <w:p>
      <w:pPr>
        <w:pStyle w:val="ListBullet"/>
      </w:pPr>
      <w:r>
        <w:t>Health includes physical, mental and social functioning and limitations.</w:t>
      </w:r>
    </w:p>
    <w:p>
      <w:pPr>
        <w:pStyle w:val="ListBullet"/>
      </w:pPr>
      <w:r>
        <w:t>It may require clinical care, reasonable support and risk controls.</w:t>
      </w:r>
    </w:p>
    <w:p>
      <w:pPr>
        <w:pStyle w:val="ListBullet"/>
      </w:pPr>
      <w:r>
        <w:t>Employers should not diagnose or infer a condition from behaviour.</w:t>
      </w:r>
    </w:p>
    <w:p>
      <w:pPr>
        <w:pStyle w:val="Heading3"/>
      </w:pPr>
      <w:r>
        <w:t>Perspective B</w:t>
      </w:r>
    </w:p>
    <w:p>
      <w:pPr>
        <w:pStyle w:val="ListBullet"/>
      </w:pPr>
      <w:r>
        <w:t>Wellness describes choices, resources and conditions that support functioning.</w:t>
      </w:r>
    </w:p>
    <w:p>
      <w:pPr>
        <w:pStyle w:val="ListBullet"/>
      </w:pPr>
      <w:r>
        <w:t>Participation should be voluntary, inclusive and free from coercion.</w:t>
      </w:r>
    </w:p>
    <w:p>
      <w:pPr>
        <w:pStyle w:val="ListBullet"/>
      </w:pPr>
      <w:r>
        <w:t>Programme design complements—not replaces—safe work and medical care.</w:t>
      </w:r>
    </w:p>
    <w:p>
      <w:pPr>
        <w:pStyle w:val="Heading2"/>
      </w:pPr>
      <w:r>
        <w:t>Interdependent dimensions of wellbeing</w:t>
      </w:r>
    </w:p>
    <w:p>
      <w:pPr>
        <w:pStyle w:val="ListBullet"/>
      </w:pPr>
      <w:r>
        <w:t>Career: Meaning, manageable expectations, strengths and development.</w:t>
      </w:r>
    </w:p>
    <w:p>
      <w:pPr>
        <w:pStyle w:val="ListBullet"/>
      </w:pPr>
      <w:r>
        <w:t>Social: Belonging, support, respect and constructive relationships.</w:t>
      </w:r>
    </w:p>
    <w:p>
      <w:pPr>
        <w:pStyle w:val="ListBullet"/>
      </w:pPr>
      <w:r>
        <w:t>Financial: Security, capability and access to trustworthy guidance.</w:t>
      </w:r>
    </w:p>
    <w:p>
      <w:pPr>
        <w:pStyle w:val="ListBullet"/>
      </w:pPr>
      <w:r>
        <w:t>Physical: Energy, movement, rest, nutrition and safe work.</w:t>
      </w:r>
    </w:p>
    <w:p>
      <w:pPr>
        <w:pStyle w:val="ListBullet"/>
      </w:pPr>
      <w:r>
        <w:t>Community: Connection, contribution and confidence in the wider environment.</w:t>
      </w:r>
    </w:p>
    <w:p>
      <w:pPr>
        <w:pStyle w:val="ListBullet"/>
      </w:pPr>
      <w:r>
        <w:t>Mental and emotional: Psychological safety, recovery, coping resources and access to help.</w:t>
      </w:r>
    </w:p>
    <w:p>
      <w:pPr>
        <w:pStyle w:val="Heading2"/>
      </w:pPr>
      <w:r>
        <w:t>From wellbeing conditions to organisational outcomes</w:t>
      </w:r>
    </w:p>
    <w:p>
      <w:pPr>
        <w:ind w:left="317" w:hanging="317"/>
      </w:pPr>
      <w:r>
        <w:t>1. Job demands and resources</w:t>
      </w:r>
    </w:p>
    <w:p>
      <w:pPr>
        <w:ind w:left="317" w:hanging="317"/>
      </w:pPr>
      <w:r>
        <w:t>2. Daily experience</w:t>
      </w:r>
    </w:p>
    <w:p>
      <w:pPr>
        <w:ind w:left="317" w:hanging="317"/>
      </w:pPr>
      <w:r>
        <w:t>3. Energy and health behaviours</w:t>
      </w:r>
    </w:p>
    <w:p>
      <w:pPr>
        <w:ind w:left="317" w:hanging="317"/>
      </w:pPr>
      <w:r>
        <w:t>4. Attendance and engagement</w:t>
      </w:r>
    </w:p>
    <w:p>
      <w:pPr>
        <w:ind w:left="317" w:hanging="317"/>
      </w:pPr>
      <w:r>
        <w:t>5. Performance and retention</w:t>
      </w:r>
    </w:p>
    <w:p>
      <w:pPr>
        <w:ind w:left="317" w:hanging="317"/>
      </w:pPr>
      <w:r>
        <w:t>6. Customer and business outcomes</w:t>
      </w:r>
    </w:p>
    <w:p>
      <w:pPr>
        <w:pStyle w:val="Heading2"/>
      </w:pPr>
      <w:r>
        <w:t>Population health indicators and workplace decisions</w:t>
      </w:r>
    </w:p>
    <w:p>
      <w:pPr>
        <w:pStyle w:val="Heading3"/>
      </w:pPr>
      <w:r>
        <w:t>Perspective A</w:t>
      </w:r>
    </w:p>
    <w:p>
      <w:pPr>
        <w:pStyle w:val="ListBullet"/>
      </w:pPr>
      <w:r>
        <w:t>Life expectancy estimates years lived; health-adjusted life expectancy also considers years lived in less than full health.</w:t>
      </w:r>
    </w:p>
    <w:p>
      <w:pPr>
        <w:pStyle w:val="ListBullet"/>
      </w:pPr>
      <w:r>
        <w:t>Population indicators can signal prevention priorities and health inequality.</w:t>
      </w:r>
    </w:p>
    <w:p>
      <w:pPr>
        <w:pStyle w:val="ListBullet"/>
      </w:pPr>
      <w:r>
        <w:t>They do not diagnose a workforce or measure one employer programme.</w:t>
      </w:r>
    </w:p>
    <w:p>
      <w:pPr>
        <w:pStyle w:val="Heading3"/>
      </w:pPr>
      <w:r>
        <w:t>Perspective B</w:t>
      </w:r>
    </w:p>
    <w:p>
      <w:pPr>
        <w:pStyle w:val="ListBullet"/>
      </w:pPr>
      <w:r>
        <w:t>Use workforce needs, job risks, access and employee voice for workplace decisions.</w:t>
      </w:r>
    </w:p>
    <w:p>
      <w:pPr>
        <w:pStyle w:val="ListBullet"/>
      </w:pPr>
      <w:r>
        <w:t>Do not convert population averages into individual targets or employment judgements.</w:t>
      </w:r>
    </w:p>
    <w:p>
      <w:pPr>
        <w:pStyle w:val="ListBullet"/>
      </w:pPr>
      <w:r>
        <w:t>Connect prevention with safe work, timely support and public-health pathways.</w:t>
      </w:r>
    </w:p>
    <w:p>
      <w:pPr>
        <w:pStyle w:val="Heading2"/>
      </w:pPr>
      <w:r>
        <w:t>Singapore workplace requirements: the practical baseline</w:t>
      </w:r>
    </w:p>
    <w:p>
      <w:pPr>
        <w:pStyle w:val="ListBullet"/>
      </w:pPr>
      <w:r>
        <w:t>PDPA: Use a lawful purpose, notify appropriately, protect data, limit retention and enable applicable access/correction rights.</w:t>
      </w:r>
    </w:p>
    <w:p>
      <w:pPr>
        <w:pStyle w:val="ListBullet"/>
      </w:pPr>
      <w:r>
        <w:t>Workplace safety and health: Manage workplace risks, including work conditions that can harm physical or psychological health.</w:t>
      </w:r>
    </w:p>
    <w:p>
      <w:pPr>
        <w:pStyle w:val="ListBullet"/>
      </w:pPr>
      <w:r>
        <w:t>Employment practices: Make objective decisions, maintain confidentiality and provide fair, respectful support.</w:t>
      </w:r>
    </w:p>
    <w:p>
      <w:pPr>
        <w:pStyle w:val="ListBullet"/>
      </w:pPr>
      <w:r>
        <w:t>Future fairness regime: Prepare for Singapore's Workplace Fairness Act implementation; do not describe future duties as already in force.</w:t>
      </w:r>
    </w:p>
    <w:p>
      <w:pPr>
        <w:pStyle w:val="Heading2"/>
      </w:pPr>
      <w:r>
        <w:t>Singapore health and employment touchpoints</w:t>
      </w:r>
    </w:p>
    <w:p>
      <w:pPr>
        <w:pStyle w:val="ListBullet"/>
      </w:pPr>
      <w:r>
        <w:t>Employment Act sick leave: Eligible employees have statutory outpatient and hospitalisation leave subject to service, notification and certification rules.</w:t>
      </w:r>
    </w:p>
    <w:p>
      <w:pPr>
        <w:pStyle w:val="ListBullet"/>
      </w:pPr>
      <w:r>
        <w:t>Healthier SG: A national preventive-health initiative centred on family doctors, health plans and community support; employers can signpost without accessing clinical data.</w:t>
      </w:r>
    </w:p>
    <w:p>
      <w:pPr>
        <w:pStyle w:val="ListBullet"/>
      </w:pPr>
      <w:r>
        <w:t>HPB workplace support: Current workplace programmes and tools can complement an organisation's needs-led plan; validate eligibility and terms before commitment.</w:t>
      </w:r>
    </w:p>
    <w:p>
      <w:pPr>
        <w:pStyle w:val="ListBullet"/>
      </w:pPr>
      <w:r>
        <w:t>Employment data boundary: Administer leave and benefits with necessary information; do not infer a blanket right to employee diagnoses or unrelated health data.</w:t>
      </w:r>
    </w:p>
    <w:p>
      <w:pPr>
        <w:pStyle w:val="Heading2"/>
      </w:pPr>
      <w:r>
        <w:t>Privacy-by-design for wellbeing data</w:t>
      </w:r>
    </w:p>
    <w:p>
      <w:pPr>
        <w:ind w:left="317" w:hanging="317"/>
      </w:pPr>
      <w:r>
        <w:t>1. Define a necessary purpose</w:t>
      </w:r>
    </w:p>
    <w:p>
      <w:pPr>
        <w:ind w:left="317" w:hanging="317"/>
      </w:pPr>
      <w:r>
        <w:t>2. Collect the minimum</w:t>
      </w:r>
    </w:p>
    <w:p>
      <w:pPr>
        <w:ind w:left="317" w:hanging="317"/>
      </w:pPr>
      <w:r>
        <w:t>3. Separate identifiers</w:t>
      </w:r>
    </w:p>
    <w:p>
      <w:pPr>
        <w:ind w:left="317" w:hanging="317"/>
      </w:pPr>
      <w:r>
        <w:t>4. Restrict access</w:t>
      </w:r>
    </w:p>
    <w:p>
      <w:pPr>
        <w:ind w:left="317" w:hanging="317"/>
      </w:pPr>
      <w:r>
        <w:t>5. Set retention and deletion</w:t>
      </w:r>
    </w:p>
    <w:p>
      <w:pPr>
        <w:ind w:left="317" w:hanging="317"/>
      </w:pPr>
      <w:r>
        <w:t>6. Report only safe aggregates</w:t>
      </w:r>
    </w:p>
    <w:p>
      <w:pPr>
        <w:pStyle w:val="Heading2"/>
      </w:pPr>
      <w:r>
        <w:t>Consent and power imbalance</w:t>
      </w:r>
    </w:p>
    <w:p>
      <w:pPr>
        <w:pStyle w:val="Heading3"/>
      </w:pPr>
      <w:r>
        <w:t>Perspective A</w:t>
      </w:r>
    </w:p>
    <w:p>
      <w:pPr>
        <w:pStyle w:val="ListBullet"/>
      </w:pPr>
      <w:r>
        <w:t>A checkbox does not make every use fair or necessary.</w:t>
      </w:r>
    </w:p>
    <w:p>
      <w:pPr>
        <w:pStyle w:val="ListBullet"/>
      </w:pPr>
      <w:r>
        <w:t>Employees may feel pressure when managers sponsor participation.</w:t>
      </w:r>
    </w:p>
    <w:p>
      <w:pPr>
        <w:pStyle w:val="ListBullet"/>
      </w:pPr>
      <w:r>
        <w:t>Avoid linking sensitive health disclosure to performance decisions.</w:t>
      </w:r>
    </w:p>
    <w:p>
      <w:pPr>
        <w:pStyle w:val="Heading3"/>
      </w:pPr>
      <w:r>
        <w:t>Perspective B</w:t>
      </w:r>
    </w:p>
    <w:p>
      <w:pPr>
        <w:pStyle w:val="ListBullet"/>
      </w:pPr>
      <w:r>
        <w:t>Offer a genuine choice and a useful non-participation path.</w:t>
      </w:r>
    </w:p>
    <w:p>
      <w:pPr>
        <w:pStyle w:val="ListBullet"/>
      </w:pPr>
      <w:r>
        <w:t>Explain purpose, recipients, retention and withdrawal clearly.</w:t>
      </w:r>
    </w:p>
    <w:p>
      <w:pPr>
        <w:pStyle w:val="ListBullet"/>
      </w:pPr>
      <w:r>
        <w:t>Use independent providers and aggregates where practical.</w:t>
      </w:r>
    </w:p>
    <w:p>
      <w:pPr>
        <w:pStyle w:val="Heading2"/>
      </w:pPr>
      <w:r>
        <w:t>Data risks in wearables and wellness platforms</w:t>
      </w:r>
    </w:p>
    <w:p>
      <w:pPr>
        <w:pStyle w:val="ListBullet"/>
      </w:pPr>
      <w:r>
        <w:t>Function creep: Step or sleep data becomes input for unrelated employment decisions.</w:t>
      </w:r>
    </w:p>
    <w:p>
      <w:pPr>
        <w:pStyle w:val="ListBullet"/>
      </w:pPr>
      <w:r>
        <w:t>Re-identification: Small teams or rare conditions reveal identities despite aggregation.</w:t>
      </w:r>
    </w:p>
    <w:p>
      <w:pPr>
        <w:pStyle w:val="ListBullet"/>
      </w:pPr>
      <w:r>
        <w:t>Vendor exposure: Cloud, subcontractor and cross-border processing expands the risk surface.</w:t>
      </w:r>
    </w:p>
    <w:p>
      <w:pPr>
        <w:pStyle w:val="ListBullet"/>
      </w:pPr>
      <w:r>
        <w:t>Exclusion: Device, language, disability or algorithm design disadvantages some groups.</w:t>
      </w:r>
    </w:p>
    <w:p>
      <w:pPr>
        <w:pStyle w:val="Heading2"/>
      </w:pPr>
      <w:r>
        <w:t>Factors that shape employee health</w:t>
      </w:r>
    </w:p>
    <w:p>
      <w:pPr>
        <w:pStyle w:val="ListBullet"/>
      </w:pPr>
      <w:r>
        <w:t>Work design: Demand, control, staffing, schedules, role clarity and workload variability.</w:t>
      </w:r>
    </w:p>
    <w:p>
      <w:pPr>
        <w:pStyle w:val="ListBullet"/>
      </w:pPr>
      <w:r>
        <w:t>Relationships: Manager behaviour, team norms, bullying, support and psychological safety.</w:t>
      </w:r>
    </w:p>
    <w:p>
      <w:pPr>
        <w:pStyle w:val="ListBullet"/>
      </w:pPr>
      <w:r>
        <w:t>Personal context: Health, caring duties, finances, life stage and access to services.</w:t>
      </w:r>
    </w:p>
    <w:p>
      <w:pPr>
        <w:pStyle w:val="ListBullet"/>
      </w:pPr>
      <w:r>
        <w:t>Environment: Ergonomics, noise, heat, travel, food options and digital load.</w:t>
      </w:r>
    </w:p>
    <w:p>
      <w:pPr>
        <w:pStyle w:val="Heading2"/>
      </w:pPr>
      <w:r>
        <w:t>Job Demands–Resources lens</w:t>
      </w:r>
    </w:p>
    <w:p>
      <w:pPr>
        <w:ind w:left="317" w:hanging="317"/>
      </w:pPr>
      <w:r>
        <w:t>1. Identify demands</w:t>
      </w:r>
    </w:p>
    <w:p>
      <w:pPr>
        <w:ind w:left="317" w:hanging="317"/>
      </w:pPr>
      <w:r>
        <w:t>2. Identify protective resources</w:t>
      </w:r>
    </w:p>
    <w:p>
      <w:pPr>
        <w:ind w:left="317" w:hanging="317"/>
      </w:pPr>
      <w:r>
        <w:t>3. Find imbalance</w:t>
      </w:r>
    </w:p>
    <w:p>
      <w:pPr>
        <w:ind w:left="317" w:hanging="317"/>
      </w:pPr>
      <w:r>
        <w:t>4. Redesign work</w:t>
      </w:r>
    </w:p>
    <w:p>
      <w:pPr>
        <w:ind w:left="317" w:hanging="317"/>
      </w:pPr>
      <w:r>
        <w:t>5. Add targeted support</w:t>
      </w:r>
    </w:p>
    <w:p>
      <w:pPr>
        <w:ind w:left="317" w:hanging="317"/>
      </w:pPr>
      <w:r>
        <w:t>6. Monitor recovery and outcomes</w:t>
      </w:r>
    </w:p>
    <w:p>
      <w:pPr>
        <w:pStyle w:val="Heading2"/>
      </w:pPr>
      <w:r>
        <w:t>Mental-health continuum: respond without diagnosing</w:t>
      </w:r>
    </w:p>
    <w:p>
      <w:pPr>
        <w:pStyle w:val="ListBullet"/>
      </w:pPr>
      <w:r>
        <w:t>Thriving: Sustainable energy, connection and effective functioning.</w:t>
      </w:r>
    </w:p>
    <w:p>
      <w:pPr>
        <w:pStyle w:val="ListBullet"/>
      </w:pPr>
      <w:r>
        <w:t>Struggling: Observable changes in work, mood, energy or connection may need a supportive check-in.</w:t>
      </w:r>
    </w:p>
    <w:p>
      <w:pPr>
        <w:pStyle w:val="ListBullet"/>
      </w:pPr>
      <w:r>
        <w:t>Unwell: Persistent impairment may need professional support and workplace adjustment.</w:t>
      </w:r>
    </w:p>
    <w:p>
      <w:pPr>
        <w:pStyle w:val="ListBullet"/>
      </w:pPr>
      <w:r>
        <w:t>Crisis: Immediate safety concerns require the organisation's emergency and escalation protocol.</w:t>
      </w:r>
    </w:p>
    <w:p>
      <w:pPr>
        <w:pStyle w:val="Heading2"/>
      </w:pPr>
      <w:r>
        <w:t>Supportive observation versus diagnosis</w:t>
      </w:r>
    </w:p>
    <w:p>
      <w:pPr>
        <w:pStyle w:val="Heading3"/>
      </w:pPr>
      <w:r>
        <w:t>Perspective A</w:t>
      </w:r>
    </w:p>
    <w:p>
      <w:pPr>
        <w:pStyle w:val="ListBullet"/>
      </w:pPr>
      <w:r>
        <w:t>Describe observable changes: missed deadlines, withdrawal or unusual fatigue.</w:t>
      </w:r>
    </w:p>
    <w:p>
      <w:pPr>
        <w:pStyle w:val="ListBullet"/>
      </w:pPr>
      <w:r>
        <w:t>Ask privately, listen, clarify work needs and signpost support.</w:t>
      </w:r>
    </w:p>
    <w:p>
      <w:pPr>
        <w:pStyle w:val="ListBullet"/>
      </w:pPr>
      <w:r>
        <w:t>Escalate immediate risk using the approved protocol.</w:t>
      </w:r>
    </w:p>
    <w:p>
      <w:pPr>
        <w:pStyle w:val="Heading3"/>
      </w:pPr>
      <w:r>
        <w:t>Perspective B</w:t>
      </w:r>
    </w:p>
    <w:p>
      <w:pPr>
        <w:pStyle w:val="ListBullet"/>
      </w:pPr>
      <w:r>
        <w:t>Do not label anxiety, depression, bipolar disorder, OCD, psychosis, eating disorders or substance misuse.</w:t>
      </w:r>
    </w:p>
    <w:p>
      <w:pPr>
        <w:pStyle w:val="ListBullet"/>
      </w:pPr>
      <w:r>
        <w:t>Do not promise absolute secrecy when safety action may be necessary.</w:t>
      </w:r>
    </w:p>
    <w:p>
      <w:pPr>
        <w:pStyle w:val="ListBullet"/>
      </w:pPr>
      <w:r>
        <w:t>Do not collect clinical details that the work decision does not require.</w:t>
      </w:r>
    </w:p>
    <w:p>
      <w:pPr>
        <w:pStyle w:val="Heading2"/>
      </w:pPr>
      <w:r>
        <w:t>Needs-assessment evidence</w:t>
      </w:r>
    </w:p>
    <w:p>
      <w:pPr>
        <w:pStyle w:val="ListBullet"/>
      </w:pPr>
      <w:r>
        <w:t>Workforce voice: Anonymous survey, focus groups, interviews and employee-resource groups.</w:t>
      </w:r>
    </w:p>
    <w:p>
      <w:pPr>
        <w:pStyle w:val="ListBullet"/>
      </w:pPr>
      <w:r>
        <w:t>Operational data: Absence, overtime, turnover, incidents, workload and schedule patterns.</w:t>
      </w:r>
    </w:p>
    <w:p>
      <w:pPr>
        <w:pStyle w:val="ListBullet"/>
      </w:pPr>
      <w:r>
        <w:t>Service data: Aggregated EAP or benefit utilisation and access barriers.</w:t>
      </w:r>
    </w:p>
    <w:p>
      <w:pPr>
        <w:pStyle w:val="ListBullet"/>
      </w:pPr>
      <w:r>
        <w:t>Risk evidence: WSH assessments, ergonomic observations and job-demand reviews.</w:t>
      </w:r>
    </w:p>
    <w:p>
      <w:pPr>
        <w:pStyle w:val="Heading2"/>
      </w:pPr>
      <w:r>
        <w:t>Responsible segmentation</w:t>
      </w:r>
    </w:p>
    <w:p>
      <w:pPr>
        <w:ind w:left="317" w:hanging="317"/>
      </w:pPr>
      <w:r>
        <w:t>1. Choose a decision need</w:t>
      </w:r>
    </w:p>
    <w:p>
      <w:pPr>
        <w:ind w:left="317" w:hanging="317"/>
      </w:pPr>
      <w:r>
        <w:t>2. Use relevant groups</w:t>
      </w:r>
    </w:p>
    <w:p>
      <w:pPr>
        <w:ind w:left="317" w:hanging="317"/>
      </w:pPr>
      <w:r>
        <w:t>3. Set minimum cell sizes</w:t>
      </w:r>
    </w:p>
    <w:p>
      <w:pPr>
        <w:ind w:left="317" w:hanging="317"/>
      </w:pPr>
      <w:r>
        <w:t>4. Compare access and outcomes</w:t>
      </w:r>
    </w:p>
    <w:p>
      <w:pPr>
        <w:ind w:left="317" w:hanging="317"/>
      </w:pPr>
      <w:r>
        <w:t>5. Avoid stereotyping</w:t>
      </w:r>
    </w:p>
    <w:p>
      <w:pPr>
        <w:ind w:left="317" w:hanging="317"/>
      </w:pPr>
      <w:r>
        <w:t>6. Co-design targeted support</w:t>
      </w:r>
    </w:p>
    <w:p>
      <w:pPr>
        <w:pStyle w:val="Heading2"/>
      </w:pPr>
      <w:r>
        <w:t>Workplace wellbeing trends</w:t>
      </w:r>
    </w:p>
    <w:p>
      <w:pPr>
        <w:pStyle w:val="ListBullet"/>
      </w:pPr>
      <w:r>
        <w:t>Whole-person design: Connect physical, mental, social, financial and career support.</w:t>
      </w:r>
    </w:p>
    <w:p>
      <w:pPr>
        <w:pStyle w:val="ListBullet"/>
      </w:pPr>
      <w:r>
        <w:t>Hybrid access: Blend onsite, remote, synchronous and self-directed pathways.</w:t>
      </w:r>
    </w:p>
    <w:p>
      <w:pPr>
        <w:pStyle w:val="ListBullet"/>
      </w:pPr>
      <w:r>
        <w:t>Personalisation: Offer choice while protecting privacy and accessibility.</w:t>
      </w:r>
    </w:p>
    <w:p>
      <w:pPr>
        <w:pStyle w:val="ListBullet"/>
      </w:pPr>
      <w:r>
        <w:t>System accountability: Measure manager and job-design conditions, not only individual habits.</w:t>
      </w:r>
    </w:p>
    <w:p>
      <w:pPr>
        <w:pStyle w:val="Heading2"/>
      </w:pPr>
      <w:r>
        <w:t>Technology options and trade-offs</w:t>
      </w:r>
    </w:p>
    <w:p>
      <w:pPr>
        <w:pStyle w:val="ListBullet"/>
      </w:pPr>
      <w:r>
        <w:t>Wearables: Continuous feedback can motivate, but creates surveillance and accuracy risks.</w:t>
      </w:r>
    </w:p>
    <w:p>
      <w:pPr>
        <w:pStyle w:val="ListBullet"/>
      </w:pPr>
      <w:r>
        <w:t>Telehealth: Improves reach, but depends on clinical quality, privacy and digital access.</w:t>
      </w:r>
    </w:p>
    <w:p>
      <w:pPr>
        <w:pStyle w:val="ListBullet"/>
      </w:pPr>
      <w:r>
        <w:t>Apps and gamification: Can support habits; novelty, competition and accessibility may limit benefit.</w:t>
      </w:r>
    </w:p>
    <w:p>
      <w:pPr>
        <w:pStyle w:val="ListBullet"/>
      </w:pPr>
      <w:r>
        <w:t>AI coaching: Scales prompts and navigation; requires safety boundaries, bias checks and human escalation.</w:t>
      </w:r>
    </w:p>
    <w:p>
      <w:pPr>
        <w:pStyle w:val="Heading2"/>
      </w:pPr>
      <w:r>
        <w:t>Evidence-to-decision pipeline</w:t>
      </w:r>
    </w:p>
    <w:p>
      <w:pPr>
        <w:ind w:left="317" w:hanging="317"/>
      </w:pPr>
      <w:r>
        <w:t>1. Frame the problem</w:t>
      </w:r>
    </w:p>
    <w:p>
      <w:pPr>
        <w:ind w:left="317" w:hanging="317"/>
      </w:pPr>
      <w:r>
        <w:t>2. Search credible sources</w:t>
      </w:r>
    </w:p>
    <w:p>
      <w:pPr>
        <w:ind w:left="317" w:hanging="317"/>
      </w:pPr>
      <w:r>
        <w:t>3. Appraise relevance and quality</w:t>
      </w:r>
    </w:p>
    <w:p>
      <w:pPr>
        <w:ind w:left="317" w:hanging="317"/>
      </w:pPr>
      <w:r>
        <w:t>4. Compare with workforce evidence</w:t>
      </w:r>
    </w:p>
    <w:p>
      <w:pPr>
        <w:ind w:left="317" w:hanging="317"/>
      </w:pPr>
      <w:r>
        <w:t>5. Pilot with safeguards</w:t>
      </w:r>
    </w:p>
    <w:p>
      <w:pPr>
        <w:ind w:left="317" w:hanging="317"/>
      </w:pPr>
      <w:r>
        <w:t>6. Decide, monitor and adapt</w:t>
      </w:r>
    </w:p>
    <w:p>
      <w:pPr>
        <w:pStyle w:val="Heading2"/>
      </w:pPr>
      <w:r>
        <w:t>A fashionable tool is not a wellbeing outcome.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A fashionable tool is not a wellbeing outcome. Choose technology only when a defined need, safeguard and measure justify it.</w:t>
            </w:r>
          </w:p>
        </w:tc>
      </w:tr>
    </w:tbl>
    <w:p>
      <w:pPr>
        <w:pStyle w:val="Heading1"/>
        <w:keepNext/>
      </w:pPr>
      <w:r>
        <w:t>Activity 1 — Privacy-Safe Wearable Wellness Pilot</w:t>
      </w:r>
    </w:p>
    <w:p>
      <w:r>
        <w:t>TSC mapping: K1 · K3 · A1 · A2 · LO1. Apply legislative and ethical requirements to a workplace wellness technology decision.</w:t>
      </w:r>
    </w:p>
    <w:p>
      <w:pPr>
        <w:pStyle w:val="Heading2"/>
      </w:pPr>
      <w:r>
        <w:t>Goal and Deliverable</w:t>
      </w:r>
    </w:p>
    <w:p>
      <w:r>
        <w:t>Assess whether a voluntary wearable pilot can address a defined employee need without creating surveillance, exclusion or unsafe data use.</w:t>
      </w:r>
    </w:p>
    <w:p>
      <w:pPr>
        <w:pStyle w:val="ListBullet"/>
      </w:pPr>
      <w:r>
        <w:t>Deliverable: One-page pilot decision, annotated data-flow map and privacy/equity risk register</w:t>
      </w:r>
    </w:p>
    <w:p>
      <w:pPr>
        <w:pStyle w:val="Heading2"/>
      </w:pPr>
      <w:r>
        <w:t>Real-World Scenario</w:t>
      </w:r>
    </w:p>
    <w:p>
      <w:r>
        <w:t>Singapore's PDPA sets obligations including accountability, notification, consent, purpose limitation, accuracy, protection, retention limitation, transfer limitation and applicable access/correction rights. These obligations shape the design of employer-sponsored wellbeing data flows.</w:t>
      </w:r>
    </w:p>
    <w:p>
      <w:r>
        <w:t>MarinaLink Logistics, a fictional Singapore employer with 640 office and shift employees, is considering voluntary wearables after staff reported fatigue and low movement. The vendor proposes individual dashboards for managers and a team leaderboard.</w:t>
      </w:r>
    </w:p>
    <w:p>
      <w:r>
        <w:t xml:space="preserve">Source: </w:t>
      </w:r>
      <w:hyperlink r:id="rId10">
        <w:r>
          <w:rPr>
            <w:color w:val="1F6FEB"/>
            <w:u w:val="single"/>
          </w:rPr>
          <w:t>https://www.pdpc.gov.sg/overview-of-pdpa/the-legislation/personal-data-protection-act/data-protection-obligations</w:t>
        </w:r>
      </w:hyperlink>
    </w:p>
    <w:p>
      <w:pPr>
        <w:pStyle w:val="Heading2"/>
      </w:pPr>
      <w:r>
        <w:t>Training Assumptions and Guardrails</w:t>
      </w:r>
    </w:p>
    <w:p>
      <w:pPr>
        <w:pStyle w:val="ListBullet"/>
      </w:pPr>
      <w:r>
        <w:t>MarinaLink Logistics, all workforce figures and vendor terms are fictional training inputs.</w:t>
      </w:r>
    </w:p>
    <w:p>
      <w:pPr>
        <w:pStyle w:val="ListBullet"/>
      </w:pPr>
      <w:r>
        <w:t>The proposed device records steps, heart rate, sleep estimates, location during challenges and a user identifier.</w:t>
      </w:r>
    </w:p>
    <w:p>
      <w:pPr>
        <w:pStyle w:val="ListBullet"/>
      </w:pPr>
      <w:r>
        <w:t>Participation is advertised as voluntary, but line managers will distribute devices and see individual dashboards under the draft plan.</w:t>
      </w:r>
    </w:p>
    <w:p>
      <w:pPr>
        <w:pStyle w:val="ListBullet"/>
      </w:pPr>
      <w:r>
        <w:t>Thirty per cent of shift staff share or do not regularly use a compatible smartphone; some employees cannot safely pursue step targets.</w:t>
      </w:r>
    </w:p>
    <w:p>
      <w:pPr>
        <w:pStyle w:val="Heading2"/>
      </w:pPr>
      <w:r>
        <w:t>Scenario Questions</w:t>
      </w:r>
    </w:p>
    <w:p>
      <w:pPr>
        <w:ind w:left="317" w:hanging="317"/>
      </w:pPr>
      <w:r>
        <w:t>Question 1: What decision purpose is necessary and proportionate, and which proposed fields are excessive?</w:t>
      </w:r>
    </w:p>
    <w:p>
      <w:pPr>
        <w:ind w:left="317" w:hanging="317"/>
      </w:pPr>
      <w:r>
        <w:t>Question 2: Where could power imbalance undermine voluntariness or trust?</w:t>
      </w:r>
    </w:p>
    <w:p>
      <w:pPr>
        <w:ind w:left="317" w:hanging="317"/>
      </w:pPr>
      <w:r>
        <w:t>Question 3: Which privacy, accessibility and fairness controls are pilot gates?</w:t>
      </w:r>
    </w:p>
    <w:p>
      <w:pPr>
        <w:ind w:left="317" w:hanging="317"/>
      </w:pPr>
      <w:r>
        <w:t>Question 4: Should the pilot proceed, proceed conditionally or stop—and what evidence supports the decision?</w:t>
      </w:r>
    </w:p>
    <w:p>
      <w:pPr>
        <w:pStyle w:val="Heading2"/>
      </w:pPr>
      <w:r>
        <w:t>Detailed Step-by-Step Activity</w:t>
      </w:r>
    </w:p>
    <w:p>
      <w:pPr>
        <w:pStyle w:val="Heading3"/>
      </w:pPr>
      <w:r>
        <w:t>Step 1 — Frame the decision</w:t>
      </w:r>
    </w:p>
    <w:p>
      <w:r>
        <w:t>Write one measurable employee need and one pilot decision. Exclude performance management, diagnosis and productivity surveillance from scope.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Map the data flow</w:t>
      </w:r>
    </w:p>
    <w:p>
      <w:r>
        <w:t>Map collection, device/app processing, vendor storage, employer access, reporting, transfer, retention and deletion. Name the responsible party at every handoff.</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Classify necessity</w:t>
      </w:r>
    </w:p>
    <w:p>
      <w:r>
        <w:t>For each data field, record purpose, necessity, sensitivity and the least-intrusive alternative. Remove any field without a defensible need.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Test voluntariness</w:t>
      </w:r>
    </w:p>
    <w:p>
      <w:r>
        <w:t>Examine recruitment, incentives, manager involvement and the non-participant experience. Redesign the opt-in so refusal has no employment disadvantage.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Assess equity</w:t>
      </w:r>
    </w:p>
    <w:p>
      <w:r>
        <w:t>Use the employee personas to identify device, disability, language, shift and health barriers. Provide equivalent non-device participation pathways.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Design controls</w:t>
      </w:r>
    </w:p>
    <w:p>
      <w:r>
        <w:t>Specify notice, consent where applicable, access roles, aggregation threshold, security, vendor terms, retention, deletion, breach response and complaint route.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Set pilot gates</w:t>
      </w:r>
    </w:p>
    <w:p>
      <w:r>
        <w:t>Define readiness, participation, trust, access, incident and outcome measures. Add a stop trigger for privacy, safety or inequity concerns.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Make the decision</w:t>
      </w:r>
    </w:p>
    <w:p>
      <w:r>
        <w:t>Recommend proceed, conditional proceed or stop. State residual risks, accountable owner, review date and evidence needed before scale.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submission defines a necessary purpose, minimises fields, removes manager access to individual data, offers a genuine alternative, specifies reporting thresholds and assigns every residual risk to an owner and gate.</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Activity 2 — Segmented Workforce Wellbeing Needs Assessment</w:t>
      </w:r>
    </w:p>
    <w:p>
      <w:r>
        <w:t>TSC mapping: K2 · A3 · LO2. Identify the current health and wellness state of different employee groups using privacy-safe evidence.</w:t>
      </w:r>
    </w:p>
    <w:p>
      <w:pPr>
        <w:pStyle w:val="Heading2"/>
      </w:pPr>
      <w:r>
        <w:t>Goal and Deliverable</w:t>
      </w:r>
    </w:p>
    <w:p>
      <w:r>
        <w:t>Combine workforce voice and operational signals to prioritise needs without diagnosing employees or exposing small groups.</w:t>
      </w:r>
    </w:p>
    <w:p>
      <w:pPr>
        <w:pStyle w:val="ListBullet"/>
      </w:pPr>
      <w:r>
        <w:t>Deliverable: Needs-assessment matrix and a two-priority management brief</w:t>
      </w:r>
    </w:p>
    <w:p>
      <w:pPr>
        <w:pStyle w:val="Heading2"/>
      </w:pPr>
      <w:r>
        <w:t>Real-World Scenario</w:t>
      </w:r>
    </w:p>
    <w:p>
      <w:r>
        <w:t>Gallup frames wellbeing through career, social, financial, physical and community elements and links the employee experience to outcomes such as engagement, absence and retention. The framework is a lens for inquiry, not a diagnostic instrument.</w:t>
      </w:r>
    </w:p>
    <w:p>
      <w:r>
        <w:t>NorthQuay Services, a fictional 420-person firm, has a head office, a 24/7 contact centre and mobile technicians. Leaders want one annual wellness event, while employee feedback suggests different barriers by group.</w:t>
      </w:r>
    </w:p>
    <w:p>
      <w:r>
        <w:t xml:space="preserve">Source: </w:t>
      </w:r>
      <w:hyperlink r:id="rId11">
        <w:r>
          <w:rPr>
            <w:color w:val="1F6FEB"/>
            <w:u w:val="single"/>
          </w:rPr>
          <w:t>https://www.gallup.com/workplace/404105/importance-of-employee-wellbeing.aspx</w:t>
        </w:r>
      </w:hyperlink>
    </w:p>
    <w:p>
      <w:pPr>
        <w:pStyle w:val="Heading2"/>
      </w:pPr>
      <w:r>
        <w:t>Training Assumptions and Guardrails</w:t>
      </w:r>
    </w:p>
    <w:p>
      <w:pPr>
        <w:pStyle w:val="ListBullet"/>
      </w:pPr>
      <w:r>
        <w:t>All survey, absence, overtime, turnover and focus-group data in the activity pack are fictional.</w:t>
      </w:r>
    </w:p>
    <w:p>
      <w:pPr>
        <w:pStyle w:val="ListBullet"/>
      </w:pPr>
      <w:r>
        <w:t>Groups with fewer than ten responses must not be reported separately.</w:t>
      </w:r>
    </w:p>
    <w:p>
      <w:pPr>
        <w:pStyle w:val="ListBullet"/>
      </w:pPr>
      <w:r>
        <w:t>Operational indicators have multiple possible causes and cannot diagnose health conditions.</w:t>
      </w:r>
    </w:p>
    <w:p>
      <w:pPr>
        <w:pStyle w:val="ListBullet"/>
      </w:pPr>
      <w:r>
        <w:t>The training dataset intentionally includes missing responses and unequal response rates.</w:t>
      </w:r>
    </w:p>
    <w:p>
      <w:pPr>
        <w:pStyle w:val="Heading2"/>
      </w:pPr>
      <w:r>
        <w:t>Scenario Questions</w:t>
      </w:r>
    </w:p>
    <w:p>
      <w:pPr>
        <w:ind w:left="317" w:hanging="317"/>
      </w:pPr>
      <w:r>
        <w:t>Question 1: What can each evidence source support, and what can it not support?</w:t>
      </w:r>
    </w:p>
    <w:p>
      <w:pPr>
        <w:ind w:left="317" w:hanging="317"/>
      </w:pPr>
      <w:r>
        <w:t>Question 2: Which needs are shared and which differ by workforce group?</w:t>
      </w:r>
    </w:p>
    <w:p>
      <w:pPr>
        <w:ind w:left="317" w:hanging="317"/>
      </w:pPr>
      <w:r>
        <w:t>Question 3: Where could response bias, small numbers or stereotyping distort the result?</w:t>
      </w:r>
    </w:p>
    <w:p>
      <w:pPr>
        <w:ind w:left="317" w:hanging="317"/>
      </w:pPr>
      <w:r>
        <w:t>Question 4: Which two priorities should management address first, and why?</w:t>
      </w:r>
    </w:p>
    <w:p>
      <w:pPr>
        <w:pStyle w:val="Heading2"/>
      </w:pPr>
      <w:r>
        <w:t>Detailed Step-by-Step Activity</w:t>
      </w:r>
    </w:p>
    <w:p>
      <w:pPr>
        <w:pStyle w:val="Heading3"/>
      </w:pPr>
      <w:r>
        <w:t>Step 1 — Define the management decision</w:t>
      </w:r>
    </w:p>
    <w:p>
      <w:r>
        <w:t>State the programme decision, time horizon and employee groups. Do not begin by choosing an intervention.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Create an evidence inventory</w:t>
      </w:r>
    </w:p>
    <w:p>
      <w:r>
        <w:t>List survey, focus group, operational, EAP and risk data. Record source, period, coverage, privacy risk and known limitation.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Check data quality</w:t>
      </w:r>
    </w:p>
    <w:p>
      <w:r>
        <w:t>Calculate response and missing-data rates. Flag small cells, inconsistent denominators, outliers and groups that are not adequately represented.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Describe each segment</w:t>
      </w:r>
    </w:p>
    <w:p>
      <w:r>
        <w:t>Summarise wellbeing conditions and barriers for office, contact-centre and mobile employees using neutral, non-diagnostic language.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Triangulate</w:t>
      </w:r>
    </w:p>
    <w:p>
      <w:r>
        <w:t>Require at least two independent signals before treating a need as established. Record contradictions rather than hiding them.</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Apply an equity lens</w:t>
      </w:r>
    </w:p>
    <w:p>
      <w:r>
        <w:t>Compare access, job demands, control, schedule, manager support and service reach. Avoid attributing group differences to personal weakness.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Prioritise transparently</w:t>
      </w:r>
    </w:p>
    <w:p>
      <w:r>
        <w:t>Score materiality, employee voice, modifiability, equity, urgency and evidence confidence. Select two priorities and one research gap.</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Prepare the management brief</w:t>
      </w:r>
    </w:p>
    <w:p>
      <w:r>
        <w:t>Present the current-state matrix, limitations, priority rationale, next evidence action and privacy-safe reporting rules.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Every priority uses at least two evidence signals, small groups are suppressed, uncertainty is explicit, no condition is diagnosed, and recommended action addresses a workplace factor plus an access need.</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Activity 3 — Evidence and Technology Selection Board</w:t>
      </w:r>
    </w:p>
    <w:p>
      <w:r>
        <w:t>TSC mapping: K3 · A1 · A2 · LO1. Identify and appraise wellbeing trends, technologies and research for workplace relevance.</w:t>
      </w:r>
    </w:p>
    <w:p>
      <w:pPr>
        <w:pStyle w:val="Heading2"/>
      </w:pPr>
      <w:r>
        <w:t>Goal and Deliverable</w:t>
      </w:r>
    </w:p>
    <w:p>
      <w:r>
        <w:t>Compare wearables, telehealth, wellbeing apps, gamification and AI coaching against evidence, need, safety, inclusion and implementation fit.</w:t>
      </w:r>
    </w:p>
    <w:p>
      <w:pPr>
        <w:pStyle w:val="ListBullet"/>
      </w:pPr>
      <w:r>
        <w:t>Deliverable: Source appraisal ledger, weighted option board and pilot hypothesis</w:t>
      </w:r>
    </w:p>
    <w:p>
      <w:pPr>
        <w:pStyle w:val="Heading2"/>
      </w:pPr>
      <w:r>
        <w:t>Real-World Scenario</w:t>
      </w:r>
    </w:p>
    <w:p>
      <w:r>
        <w:t>The NCBI review describes employee wellness programmes as employer-sponsored efforts to support healthy behaviour and reduce health risk, and stresses leadership, alignment, scope, accessibility, partnerships and communication. It also notes participation barriers such as awareness, time, manager support, perceived benefit, access and privacy.</w:t>
      </w:r>
    </w:p>
    <w:p>
      <w:r>
        <w:t>BrightForge Engineering, a fictional manufacturer, has S$80,000 for one pilot. Vendors propose a wearable challenge, telehealth access, a mindfulness app with gamification, or AI coaching. The workforce includes production shifts, engineers and mature technicians.</w:t>
      </w:r>
    </w:p>
    <w:p>
      <w:r>
        <w:t xml:space="preserve">Source: </w:t>
      </w:r>
      <w:hyperlink r:id="rId12">
        <w:r>
          <w:rPr>
            <w:color w:val="1F6FEB"/>
            <w:u w:val="single"/>
          </w:rPr>
          <w:t>https://www.ncbi.nlm.nih.gov/books/NBK201567/</w:t>
        </w:r>
      </w:hyperlink>
    </w:p>
    <w:p>
      <w:pPr>
        <w:pStyle w:val="Heading2"/>
      </w:pPr>
      <w:r>
        <w:t>Training Assumptions and Guardrails</w:t>
      </w:r>
    </w:p>
    <w:p>
      <w:pPr>
        <w:pStyle w:val="ListBullet"/>
      </w:pPr>
      <w:r>
        <w:t>Vendor claims, prices and implementation times are fictional and have not been independently validated.</w:t>
      </w:r>
    </w:p>
    <w:p>
      <w:pPr>
        <w:pStyle w:val="ListBullet"/>
      </w:pPr>
      <w:r>
        <w:t>The workforce need is access to timely support and recovery, not increased monitoring.</w:t>
      </w:r>
    </w:p>
    <w:p>
      <w:pPr>
        <w:pStyle w:val="ListBullet"/>
      </w:pPr>
      <w:r>
        <w:t>Mobile access and English literacy vary across groups.</w:t>
      </w:r>
    </w:p>
    <w:p>
      <w:pPr>
        <w:pStyle w:val="ListBullet"/>
      </w:pPr>
      <w:r>
        <w:t>The board may reject all four options or select a non-technology response.</w:t>
      </w:r>
    </w:p>
    <w:p>
      <w:pPr>
        <w:pStyle w:val="Heading2"/>
      </w:pPr>
      <w:r>
        <w:t>Scenario Questions</w:t>
      </w:r>
    </w:p>
    <w:p>
      <w:pPr>
        <w:ind w:left="317" w:hanging="317"/>
      </w:pPr>
      <w:r>
        <w:t>Question 1: Which source claims are credible, relevant and transferable to this workforce?</w:t>
      </w:r>
    </w:p>
    <w:p>
      <w:pPr>
        <w:ind w:left="317" w:hanging="317"/>
      </w:pPr>
      <w:r>
        <w:t>Question 2: What employee need does each option address—and what new risk does it create?</w:t>
      </w:r>
    </w:p>
    <w:p>
      <w:pPr>
        <w:ind w:left="317" w:hanging="317"/>
      </w:pPr>
      <w:r>
        <w:t>Question 3: Which criteria and weights should govern the choice?</w:t>
      </w:r>
    </w:p>
    <w:p>
      <w:pPr>
        <w:ind w:left="317" w:hanging="317"/>
      </w:pPr>
      <w:r>
        <w:t>Question 4: What pilot result would justify scale, adaptation or termination?</w:t>
      </w:r>
    </w:p>
    <w:p>
      <w:pPr>
        <w:pStyle w:val="Heading2"/>
      </w:pPr>
      <w:r>
        <w:t>Detailed Step-by-Step Activity</w:t>
      </w:r>
    </w:p>
    <w:p>
      <w:pPr>
        <w:pStyle w:val="Heading3"/>
      </w:pPr>
      <w:r>
        <w:t>Step 1 — Frame a PICO-style question</w:t>
      </w:r>
    </w:p>
    <w:p>
      <w:r>
        <w:t>Define population, intervention, comparator and outcome for the workplace decision. State acceptable implementation time and risk boundaries.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Build a source ledger</w:t>
      </w:r>
    </w:p>
    <w:p>
      <w:r>
        <w:t>Record source type, date, population, intervention, outcome, limitations and conflicts of interest. Separate research from vendor assertion.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Appraise transferability</w:t>
      </w:r>
    </w:p>
    <w:p>
      <w:r>
        <w:t>Compare research context with workforce, setting, access, culture and baseline need. Rate direct, partial or weak relevance with reasons.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Map option logic</w:t>
      </w:r>
    </w:p>
    <w:p>
      <w:r>
        <w:t>For each technology, show need, mechanism, expected behaviour or condition change, outcome and possible harm.</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Choose decision criteria</w:t>
      </w:r>
    </w:p>
    <w:p>
      <w:r>
        <w:t>Weight need-fit, evidence quality, privacy, safety, inclusion, usability, vendor capability, cost and evaluability before scoring options.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Run the option board</w:t>
      </w:r>
    </w:p>
    <w:p>
      <w:r>
        <w:t>Score each option independently, compare rationales, resolve material disagreements and record sensitivity to changed weights.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Define the pilot</w:t>
      </w:r>
    </w:p>
    <w:p>
      <w:r>
        <w:t>Write a testable hypothesis, target group, comparison or baseline, safeguards, reach and outcome measures, duration and stop triggers.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Issue a decision note</w:t>
      </w:r>
    </w:p>
    <w:p>
      <w:r>
        <w:t>Recommend one option, a combined/non-technology alternative or no pilot. State evidence gaps and due-diligence actions.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recommendation distinguishes research from vendor claims, maps each option to a defined need, includes privacy and accessibility gates, tests weight sensitivity and states scale/adapt/stop criteria.</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Topic 2 — Programme Design and Implementation</w:t>
      </w:r>
    </w:p>
    <w:p>
      <w:r>
        <w:t>TSC mapping: K4 · K5 · A3 · A4. programme portfolio · inclusion · policy-to-practice · resilience · participation · governance.</w:t>
      </w:r>
    </w:p>
    <w:p>
      <w:pPr>
        <w:pStyle w:val="Heading2"/>
      </w:pPr>
      <w:r>
        <w:t>Key Concepts</w:t>
      </w:r>
    </w:p>
    <w:p>
      <w:pPr>
        <w:pStyle w:val="ListBullet"/>
      </w:pPr>
      <w:r>
        <w:t>Portfolio: Combine prevention, protection, early help, support and recovery rather than relying on one programme.</w:t>
      </w:r>
    </w:p>
    <w:p>
      <w:pPr>
        <w:pStyle w:val="ListBullet"/>
      </w:pPr>
      <w:r>
        <w:t>Fit: Design for employee needs, operating context, access barriers and cultural expectations.</w:t>
      </w:r>
    </w:p>
    <w:p>
      <w:pPr>
        <w:pStyle w:val="ListBullet"/>
      </w:pPr>
      <w:r>
        <w:t>Implementation: Turn policy into roles, routines, resources, escalation and evidence.</w:t>
      </w:r>
    </w:p>
    <w:p>
      <w:pPr>
        <w:pStyle w:val="ListBullet"/>
      </w:pPr>
      <w:r>
        <w:t>Resilience: Build individual, team and organisational capacity while reducing preventable demands.</w:t>
      </w:r>
    </w:p>
    <w:p>
      <w:pPr>
        <w:pStyle w:val="Heading2"/>
      </w:pPr>
      <w:r>
        <w:t>Start with the work, then add support.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Start with the work, then add support. A resilience workshop cannot compensate for chronic overload, unclear priorities or unsafe management behaviour.</w:t>
            </w:r>
          </w:p>
        </w:tc>
      </w:tr>
    </w:tbl>
    <w:p>
      <w:pPr>
        <w:pStyle w:val="Heading2"/>
      </w:pPr>
      <w:r>
        <w:t>Programme portfolio</w:t>
      </w:r>
    </w:p>
    <w:p>
      <w:pPr>
        <w:pStyle w:val="ListBullet"/>
      </w:pPr>
      <w:r>
        <w:t>Prevention: Healthy work design, risk reduction, ergonomics, financial capability and connection.</w:t>
      </w:r>
    </w:p>
    <w:p>
      <w:pPr>
        <w:pStyle w:val="ListBullet"/>
      </w:pPr>
      <w:r>
        <w:t>Promotion: Movement, nutrition, sleep, learning and inclusive social participation.</w:t>
      </w:r>
    </w:p>
    <w:p>
      <w:pPr>
        <w:pStyle w:val="ListBullet"/>
      </w:pPr>
      <w:r>
        <w:t>Early help: Manager conversations, screening boundaries, navigation and EAP access.</w:t>
      </w:r>
    </w:p>
    <w:p>
      <w:pPr>
        <w:pStyle w:val="ListBullet"/>
      </w:pPr>
      <w:r>
        <w:t>Treatment and recovery: Benefits, clinical pathways, adjustments and return-to-work support.</w:t>
      </w:r>
    </w:p>
    <w:p>
      <w:pPr>
        <w:pStyle w:val="Heading2"/>
      </w:pPr>
      <w:r>
        <w:t>Common programme types</w:t>
      </w:r>
    </w:p>
    <w:p>
      <w:pPr>
        <w:pStyle w:val="ListBullet"/>
      </w:pPr>
      <w:r>
        <w:t>Physical wellbeing: Activity, ergonomics, preventive checks, nutrition and chronic-condition support.</w:t>
      </w:r>
    </w:p>
    <w:p>
      <w:pPr>
        <w:pStyle w:val="ListBullet"/>
      </w:pPr>
      <w:r>
        <w:t>Mental wellbeing: Psychological safety, EAP, counselling, peer support and manager capability.</w:t>
      </w:r>
    </w:p>
    <w:p>
      <w:pPr>
        <w:pStyle w:val="ListBullet"/>
      </w:pPr>
      <w:r>
        <w:t>Financial wellbeing: Budgeting, debt support, benefits navigation and retirement planning.</w:t>
      </w:r>
    </w:p>
    <w:p>
      <w:pPr>
        <w:pStyle w:val="ListBullet"/>
      </w:pPr>
      <w:r>
        <w:t>Social and community: Connection, volunteering, inclusion and team practices.</w:t>
      </w:r>
    </w:p>
    <w:p>
      <w:pPr>
        <w:pStyle w:val="Heading2"/>
      </w:pPr>
      <w:r>
        <w:t>Disease management and prevention</w:t>
      </w:r>
    </w:p>
    <w:p>
      <w:pPr>
        <w:pStyle w:val="Heading3"/>
      </w:pPr>
      <w:r>
        <w:t>Perspective A</w:t>
      </w:r>
    </w:p>
    <w:p>
      <w:pPr>
        <w:pStyle w:val="ListBullet"/>
      </w:pPr>
      <w:r>
        <w:t>Disease-management support serves employees with an identified condition.</w:t>
      </w:r>
    </w:p>
    <w:p>
      <w:pPr>
        <w:pStyle w:val="ListBullet"/>
      </w:pPr>
      <w:r>
        <w:t>It may include navigation, medication adherence and work adjustment.</w:t>
      </w:r>
    </w:p>
    <w:p>
      <w:pPr>
        <w:pStyle w:val="ListBullet"/>
      </w:pPr>
      <w:r>
        <w:t>Clinical decisions belong with qualified professionals.</w:t>
      </w:r>
    </w:p>
    <w:p>
      <w:pPr>
        <w:pStyle w:val="Heading3"/>
      </w:pPr>
      <w:r>
        <w:t>Perspective B</w:t>
      </w:r>
    </w:p>
    <w:p>
      <w:pPr>
        <w:pStyle w:val="ListBullet"/>
      </w:pPr>
      <w:r>
        <w:t>Prevention reduces risk and strengthens protective conditions before harm.</w:t>
      </w:r>
    </w:p>
    <w:p>
      <w:pPr>
        <w:pStyle w:val="ListBullet"/>
      </w:pPr>
      <w:r>
        <w:t>It includes job design, safe work, vaccination access and healthy environments.</w:t>
      </w:r>
    </w:p>
    <w:p>
      <w:pPr>
        <w:pStyle w:val="ListBullet"/>
      </w:pPr>
      <w:r>
        <w:t>Universal support can be combined with targeted pathways.</w:t>
      </w:r>
    </w:p>
    <w:p>
      <w:pPr>
        <w:pStyle w:val="Heading2"/>
      </w:pPr>
      <w:r>
        <w:t>Programme design cycle</w:t>
      </w:r>
    </w:p>
    <w:p>
      <w:pPr>
        <w:ind w:left="317" w:hanging="317"/>
      </w:pPr>
      <w:r>
        <w:t>1. Diagnose needs</w:t>
      </w:r>
    </w:p>
    <w:p>
      <w:pPr>
        <w:ind w:left="317" w:hanging="317"/>
      </w:pPr>
      <w:r>
        <w:t>2. Prioritise outcomes</w:t>
      </w:r>
    </w:p>
    <w:p>
      <w:pPr>
        <w:ind w:left="317" w:hanging="317"/>
      </w:pPr>
      <w:r>
        <w:t>3. Co-design interventions</w:t>
      </w:r>
    </w:p>
    <w:p>
      <w:pPr>
        <w:ind w:left="317" w:hanging="317"/>
      </w:pPr>
      <w:r>
        <w:t>4. Plan safeguards and delivery</w:t>
      </w:r>
    </w:p>
    <w:p>
      <w:pPr>
        <w:ind w:left="317" w:hanging="317"/>
      </w:pPr>
      <w:r>
        <w:t>5. Pilot</w:t>
      </w:r>
    </w:p>
    <w:p>
      <w:pPr>
        <w:ind w:left="317" w:hanging="317"/>
      </w:pPr>
      <w:r>
        <w:t>6. Evaluate and improve</w:t>
      </w:r>
    </w:p>
    <w:p>
      <w:pPr>
        <w:pStyle w:val="Heading2"/>
      </w:pPr>
      <w:r>
        <w:t>Quality design criteria</w:t>
      </w:r>
    </w:p>
    <w:p>
      <w:pPr>
        <w:pStyle w:val="ListBullet"/>
      </w:pPr>
      <w:r>
        <w:t>Relevant: Addresses a material, evidenced need and defined employee group.</w:t>
      </w:r>
    </w:p>
    <w:p>
      <w:pPr>
        <w:pStyle w:val="ListBullet"/>
      </w:pPr>
      <w:r>
        <w:t>Accessible: Works across shift, location, language, disability, caregiving and device constraints.</w:t>
      </w:r>
    </w:p>
    <w:p>
      <w:pPr>
        <w:pStyle w:val="ListBullet"/>
      </w:pPr>
      <w:r>
        <w:t>Safe: Protects privacy, clinical boundaries, voluntariness and escalation.</w:t>
      </w:r>
    </w:p>
    <w:p>
      <w:pPr>
        <w:pStyle w:val="ListBullet"/>
      </w:pPr>
      <w:r>
        <w:t>Evaluable: Has baseline, logic, owner, measures and review timing.</w:t>
      </w:r>
    </w:p>
    <w:p>
      <w:pPr>
        <w:pStyle w:val="Heading2"/>
      </w:pPr>
      <w:r>
        <w:t>Policy-to-practice chain</w:t>
      </w:r>
    </w:p>
    <w:p>
      <w:pPr>
        <w:ind w:left="317" w:hanging="317"/>
      </w:pPr>
      <w:r>
        <w:t>1. Policy intent</w:t>
      </w:r>
    </w:p>
    <w:p>
      <w:pPr>
        <w:ind w:left="317" w:hanging="317"/>
      </w:pPr>
      <w:r>
        <w:t>2. Role and decision right</w:t>
      </w:r>
    </w:p>
    <w:p>
      <w:pPr>
        <w:ind w:left="317" w:hanging="317"/>
      </w:pPr>
      <w:r>
        <w:t>3. Daily routine</w:t>
      </w:r>
    </w:p>
    <w:p>
      <w:pPr>
        <w:ind w:left="317" w:hanging="317"/>
      </w:pPr>
      <w:r>
        <w:t>4. Tool or resource</w:t>
      </w:r>
    </w:p>
    <w:p>
      <w:pPr>
        <w:ind w:left="317" w:hanging="317"/>
      </w:pPr>
      <w:r>
        <w:t>5. Evidence of use</w:t>
      </w:r>
    </w:p>
    <w:p>
      <w:pPr>
        <w:ind w:left="317" w:hanging="317"/>
      </w:pPr>
      <w:r>
        <w:t>6. Review and improvement</w:t>
      </w:r>
    </w:p>
    <w:p>
      <w:pPr>
        <w:pStyle w:val="Heading2"/>
      </w:pPr>
      <w:r>
        <w:t>Manager playbook essentials</w:t>
      </w:r>
    </w:p>
    <w:p>
      <w:pPr>
        <w:pStyle w:val="ListBullet"/>
      </w:pPr>
      <w:r>
        <w:t>Notice: Recognise work-related changes without diagnosing.</w:t>
      </w:r>
    </w:p>
    <w:p>
      <w:pPr>
        <w:pStyle w:val="ListBullet"/>
      </w:pPr>
      <w:r>
        <w:t>Ask: Choose a private moment and use open, respectful questions.</w:t>
      </w:r>
    </w:p>
    <w:p>
      <w:pPr>
        <w:pStyle w:val="ListBullet"/>
      </w:pPr>
      <w:r>
        <w:t>Act: Adjust work within authority and connect the employee to support.</w:t>
      </w:r>
    </w:p>
    <w:p>
      <w:pPr>
        <w:pStyle w:val="ListBullet"/>
      </w:pPr>
      <w:r>
        <w:t>Escalate: Follow safety, HR and emergency routes for risk or complexity.</w:t>
      </w:r>
    </w:p>
    <w:p>
      <w:pPr>
        <w:pStyle w:val="Heading2"/>
      </w:pPr>
      <w:r>
        <w:t>Individual resilience and organisational resilience</w:t>
      </w:r>
    </w:p>
    <w:p>
      <w:pPr>
        <w:pStyle w:val="Heading3"/>
      </w:pPr>
      <w:r>
        <w:t>Perspective A</w:t>
      </w:r>
    </w:p>
    <w:p>
      <w:pPr>
        <w:pStyle w:val="ListBullet"/>
      </w:pPr>
      <w:r>
        <w:t>Self-efficacy, optimism, recovery skills and social support can be protective.</w:t>
      </w:r>
    </w:p>
    <w:p>
      <w:pPr>
        <w:pStyle w:val="ListBullet"/>
      </w:pPr>
      <w:r>
        <w:t>Practice, coaching and reflection can build usable coping resources.</w:t>
      </w:r>
    </w:p>
    <w:p>
      <w:pPr>
        <w:pStyle w:val="ListBullet"/>
      </w:pPr>
      <w:r>
        <w:t>Participation should not imply blame for harmful work conditions.</w:t>
      </w:r>
    </w:p>
    <w:p>
      <w:pPr>
        <w:pStyle w:val="Heading3"/>
      </w:pPr>
      <w:r>
        <w:t>Perspective B</w:t>
      </w:r>
    </w:p>
    <w:p>
      <w:pPr>
        <w:pStyle w:val="ListBullet"/>
      </w:pPr>
      <w:r>
        <w:t>Leaders shape workload, autonomy, trust, purpose and access to help.</w:t>
      </w:r>
    </w:p>
    <w:p>
      <w:pPr>
        <w:pStyle w:val="ListBullet"/>
      </w:pPr>
      <w:r>
        <w:t>Teams create norms for speaking up, support and recovery.</w:t>
      </w:r>
    </w:p>
    <w:p>
      <w:pPr>
        <w:pStyle w:val="ListBullet"/>
      </w:pPr>
      <w:r>
        <w:t>Organisations remove systemic demands and learn from workforce evidence.</w:t>
      </w:r>
    </w:p>
    <w:p>
      <w:pPr>
        <w:pStyle w:val="Heading2"/>
      </w:pPr>
      <w:r>
        <w:t>Resilience ecosystem</w:t>
      </w:r>
    </w:p>
    <w:p>
      <w:pPr>
        <w:pStyle w:val="ListBullet"/>
      </w:pPr>
      <w:r>
        <w:t>Leadership: Visible priorities, psychologically safe behaviour and accountability.</w:t>
      </w:r>
    </w:p>
    <w:p>
      <w:pPr>
        <w:pStyle w:val="ListBullet"/>
      </w:pPr>
      <w:r>
        <w:t>Job design: Manage demand, control, staffing, role clarity and recovery time.</w:t>
      </w:r>
    </w:p>
    <w:p>
      <w:pPr>
        <w:pStyle w:val="ListBullet"/>
      </w:pPr>
      <w:r>
        <w:t>Social resources: Peer connection, manager support and trusted communities.</w:t>
      </w:r>
    </w:p>
    <w:p>
      <w:pPr>
        <w:pStyle w:val="ListBullet"/>
      </w:pPr>
      <w:r>
        <w:t>Professional support: Clear, confidential and timely access to qualified help.</w:t>
      </w:r>
    </w:p>
    <w:p>
      <w:pPr>
        <w:pStyle w:val="Heading2"/>
      </w:pPr>
      <w:r>
        <w:t>Implementation workstreams</w:t>
      </w:r>
    </w:p>
    <w:p>
      <w:pPr>
        <w:ind w:left="317" w:hanging="317"/>
      </w:pPr>
      <w:r>
        <w:t>1. Sponsor and governance</w:t>
      </w:r>
    </w:p>
    <w:p>
      <w:pPr>
        <w:ind w:left="317" w:hanging="317"/>
      </w:pPr>
      <w:r>
        <w:t>2. Service and vendor readiness</w:t>
      </w:r>
    </w:p>
    <w:p>
      <w:pPr>
        <w:ind w:left="317" w:hanging="317"/>
      </w:pPr>
      <w:r>
        <w:t>3. Manager enablement</w:t>
      </w:r>
    </w:p>
    <w:p>
      <w:pPr>
        <w:ind w:left="317" w:hanging="317"/>
      </w:pPr>
      <w:r>
        <w:t>4. Communication and access</w:t>
      </w:r>
    </w:p>
    <w:p>
      <w:pPr>
        <w:ind w:left="317" w:hanging="317"/>
      </w:pPr>
      <w:r>
        <w:t>5. Data safeguards</w:t>
      </w:r>
    </w:p>
    <w:p>
      <w:pPr>
        <w:ind w:left="317" w:hanging="317"/>
      </w:pPr>
      <w:r>
        <w:t>6. Monitoring and issue resolution</w:t>
      </w:r>
    </w:p>
    <w:p>
      <w:pPr>
        <w:pStyle w:val="Heading2"/>
      </w:pPr>
      <w:r>
        <w:t>Roles and ownership</w:t>
      </w:r>
    </w:p>
    <w:p>
      <w:pPr>
        <w:pStyle w:val="ListBullet"/>
      </w:pPr>
      <w:r>
        <w:t>Sponsor: Sets priority, resources and accountability for outcomes.</w:t>
      </w:r>
    </w:p>
    <w:p>
      <w:pPr>
        <w:pStyle w:val="ListBullet"/>
      </w:pPr>
      <w:r>
        <w:t>Programme owner: Coordinates plan, risks, vendors, data and review.</w:t>
      </w:r>
    </w:p>
    <w:p>
      <w:pPr>
        <w:pStyle w:val="ListBullet"/>
      </w:pPr>
      <w:r>
        <w:t>Managers: Apply work practices, enable access and respond safely.</w:t>
      </w:r>
    </w:p>
    <w:p>
      <w:pPr>
        <w:pStyle w:val="ListBullet"/>
      </w:pPr>
      <w:r>
        <w:t>Employees and representatives: Co-design, participate voluntarily and provide feedback.</w:t>
      </w:r>
    </w:p>
    <w:p>
      <w:pPr>
        <w:pStyle w:val="Heading2"/>
      </w:pPr>
      <w:r>
        <w:t>Participation barriers</w:t>
      </w:r>
    </w:p>
    <w:p>
      <w:pPr>
        <w:pStyle w:val="ListBullet"/>
      </w:pPr>
      <w:r>
        <w:t>Awareness: Employees do not know what exists or why it is relevant.</w:t>
      </w:r>
    </w:p>
    <w:p>
      <w:pPr>
        <w:pStyle w:val="ListBullet"/>
      </w:pPr>
      <w:r>
        <w:t>Time and access: Shifts, workload, caregiving, location or technology block use.</w:t>
      </w:r>
    </w:p>
    <w:p>
      <w:pPr>
        <w:pStyle w:val="ListBullet"/>
      </w:pPr>
      <w:r>
        <w:t>Trust: Privacy, stigma or employment consequences feel uncertain.</w:t>
      </w:r>
    </w:p>
    <w:p>
      <w:pPr>
        <w:pStyle w:val="ListBullet"/>
      </w:pPr>
      <w:r>
        <w:t>Perceived value: The offer does not match needs, culture or employee experience.</w:t>
      </w:r>
    </w:p>
    <w:p>
      <w:pPr>
        <w:pStyle w:val="Heading2"/>
      </w:pPr>
      <w:r>
        <w:t>Ethical engagement</w:t>
      </w:r>
    </w:p>
    <w:p>
      <w:pPr>
        <w:ind w:left="317" w:hanging="317"/>
      </w:pPr>
      <w:r>
        <w:t>1. Explain the need</w:t>
      </w:r>
    </w:p>
    <w:p>
      <w:pPr>
        <w:ind w:left="317" w:hanging="317"/>
      </w:pPr>
      <w:r>
        <w:t>2. Offer meaningful choices</w:t>
      </w:r>
    </w:p>
    <w:p>
      <w:pPr>
        <w:ind w:left="317" w:hanging="317"/>
      </w:pPr>
      <w:r>
        <w:t>3. Protect non-participants</w:t>
      </w:r>
    </w:p>
    <w:p>
      <w:pPr>
        <w:ind w:left="317" w:hanging="317"/>
      </w:pPr>
      <w:r>
        <w:t>4. Remove access barriers</w:t>
      </w:r>
    </w:p>
    <w:p>
      <w:pPr>
        <w:ind w:left="317" w:hanging="317"/>
      </w:pPr>
      <w:r>
        <w:t>5. Use supportive incentives</w:t>
      </w:r>
    </w:p>
    <w:p>
      <w:pPr>
        <w:ind w:left="317" w:hanging="317"/>
      </w:pPr>
      <w:r>
        <w:t>6. Monitor equity and unintended effects</w:t>
      </w:r>
    </w:p>
    <w:p>
      <w:pPr>
        <w:pStyle w:val="Heading2"/>
      </w:pPr>
      <w:r>
        <w:t>Partner and vendor governance</w:t>
      </w:r>
    </w:p>
    <w:p>
      <w:pPr>
        <w:pStyle w:val="ListBullet"/>
      </w:pPr>
      <w:r>
        <w:t>Capability: Qualified staff, service standards, escalation and clinical governance.</w:t>
      </w:r>
    </w:p>
    <w:p>
      <w:pPr>
        <w:pStyle w:val="ListBullet"/>
      </w:pPr>
      <w:r>
        <w:t>Privacy: Purpose, data flows, security, retention, transfer and breach duties.</w:t>
      </w:r>
    </w:p>
    <w:p>
      <w:pPr>
        <w:pStyle w:val="ListBullet"/>
      </w:pPr>
      <w:r>
        <w:t>Access: Hours, languages, channels, accessibility and capacity.</w:t>
      </w:r>
    </w:p>
    <w:p>
      <w:pPr>
        <w:pStyle w:val="ListBullet"/>
      </w:pPr>
      <w:r>
        <w:t>Evidence: Safe aggregates, service quality, outcomes and corrective action.</w:t>
      </w:r>
    </w:p>
    <w:p>
      <w:pPr>
        <w:pStyle w:val="Heading2"/>
      </w:pPr>
      <w:r>
        <w:t>Budget and value</w:t>
      </w:r>
    </w:p>
    <w:p>
      <w:pPr>
        <w:pStyle w:val="Heading3"/>
      </w:pPr>
      <w:r>
        <w:t>Perspective A</w:t>
      </w:r>
    </w:p>
    <w:p>
      <w:pPr>
        <w:pStyle w:val="ListBullet"/>
      </w:pPr>
      <w:r>
        <w:t>Budget for design, communication, manager time, access support and evaluation—not just vendor fees.</w:t>
      </w:r>
    </w:p>
    <w:p>
      <w:pPr>
        <w:pStyle w:val="ListBullet"/>
      </w:pPr>
      <w:r>
        <w:t>Use a benefits logic and realistic time horizon.</w:t>
      </w:r>
    </w:p>
    <w:p>
      <w:pPr>
        <w:pStyle w:val="ListBullet"/>
      </w:pPr>
      <w:r>
        <w:t>State uncertainty and avoid promising guaranteed ROI.</w:t>
      </w:r>
    </w:p>
    <w:p>
      <w:pPr>
        <w:pStyle w:val="Heading3"/>
      </w:pPr>
      <w:r>
        <w:t>Perspective B</w:t>
      </w:r>
    </w:p>
    <w:p>
      <w:pPr>
        <w:pStyle w:val="ListBullet"/>
      </w:pPr>
      <w:r>
        <w:t>Prioritise statutory and safety requirements first.</w:t>
      </w:r>
    </w:p>
    <w:p>
      <w:pPr>
        <w:pStyle w:val="ListBullet"/>
      </w:pPr>
      <w:r>
        <w:t>Compare reach, equity, quality and outcome with cost.</w:t>
      </w:r>
    </w:p>
    <w:p>
      <w:pPr>
        <w:pStyle w:val="ListBullet"/>
      </w:pPr>
      <w:r>
        <w:t>Scale only after a pilot demonstrates safe, relevant value.</w:t>
      </w:r>
    </w:p>
    <w:p>
      <w:pPr>
        <w:pStyle w:val="Heading2"/>
      </w:pPr>
      <w:r>
        <w:t>Pilot-to-scale gates</w:t>
      </w:r>
    </w:p>
    <w:p>
      <w:pPr>
        <w:ind w:left="317" w:hanging="317"/>
      </w:pPr>
      <w:r>
        <w:t>1. Readiness</w:t>
      </w:r>
    </w:p>
    <w:p>
      <w:pPr>
        <w:ind w:left="317" w:hanging="317"/>
      </w:pPr>
      <w:r>
        <w:t>2. Safe launch</w:t>
      </w:r>
    </w:p>
    <w:p>
      <w:pPr>
        <w:ind w:left="317" w:hanging="317"/>
      </w:pPr>
      <w:r>
        <w:t>3. Access and reach</w:t>
      </w:r>
    </w:p>
    <w:p>
      <w:pPr>
        <w:ind w:left="317" w:hanging="317"/>
      </w:pPr>
      <w:r>
        <w:t>4. Experience and quality</w:t>
      </w:r>
    </w:p>
    <w:p>
      <w:pPr>
        <w:ind w:left="317" w:hanging="317"/>
      </w:pPr>
      <w:r>
        <w:t>5. Early outcome signal</w:t>
      </w:r>
    </w:p>
    <w:p>
      <w:pPr>
        <w:ind w:left="317" w:hanging="317"/>
      </w:pPr>
      <w:r>
        <w:t>6. Decision to adapt, scale or stop</w:t>
      </w:r>
    </w:p>
    <w:p>
      <w:pPr>
        <w:pStyle w:val="Heading2"/>
      </w:pPr>
      <w:r>
        <w:t>Implementation is the programme.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Implementation is the programme. Policy, vendor and launch event matter only when daily work, access and follow-through change.</w:t>
            </w:r>
          </w:p>
        </w:tc>
      </w:tr>
    </w:tbl>
    <w:p>
      <w:pPr>
        <w:pStyle w:val="Heading1"/>
        <w:keepNext/>
      </w:pPr>
      <w:r>
        <w:t>Activity 4 — Resilience Ecosystem After a Service Surge</w:t>
      </w:r>
    </w:p>
    <w:p>
      <w:r>
        <w:t>TSC mapping: K2 · K5 · A3 · A4 · LO2. Redesign job demands and resources while adding proportionate resilience support.</w:t>
      </w:r>
    </w:p>
    <w:p>
      <w:pPr>
        <w:pStyle w:val="Heading2"/>
      </w:pPr>
      <w:r>
        <w:t>Goal and Deliverable</w:t>
      </w:r>
    </w:p>
    <w:p>
      <w:r>
        <w:t>Respond to fatigue and strain in a high-demand team without shifting responsibility onto employees to become tougher.</w:t>
      </w:r>
    </w:p>
    <w:p>
      <w:pPr>
        <w:pStyle w:val="ListBullet"/>
      </w:pPr>
      <w:r>
        <w:t>Deliverable: Resilience ecosystem map and a 90-day multi-level implementation plan</w:t>
      </w:r>
    </w:p>
    <w:p>
      <w:pPr>
        <w:pStyle w:val="Heading2"/>
      </w:pPr>
      <w:r>
        <w:t>Real-World Scenario</w:t>
      </w:r>
    </w:p>
    <w:p>
      <w:r>
        <w:t>CIPD's evidence review treats resilience as influenced by individual and contextual factors and cautions against placing the onus on employees to withstand harmful conditions. Protective factors include self-efficacy, positive affect, social support and leader relationships; effective development tends to be structured and experiential rather than a one-off lecture.</w:t>
      </w:r>
    </w:p>
    <w:p>
      <w:r>
        <w:t>CivicConnect, a fictional public-facing service centre, experienced a four-month demand surge. Employees report unpredictable overtime, abusive callers, low control and slow escalation. Management initially proposes a one-hour resilience webinar.</w:t>
      </w:r>
    </w:p>
    <w:p>
      <w:r>
        <w:t xml:space="preserve">Source: </w:t>
      </w:r>
      <w:hyperlink r:id="rId13">
        <w:r>
          <w:rPr>
            <w:color w:val="1F6FEB"/>
            <w:u w:val="single"/>
          </w:rPr>
          <w:t>https://www.cipd.org/globalassets/media/knowledge/knowledge-hub/evidence-reviews/employee-resilience-discussion-report_tcm18-91717.pdf</w:t>
        </w:r>
      </w:hyperlink>
    </w:p>
    <w:p>
      <w:pPr>
        <w:pStyle w:val="Heading2"/>
      </w:pPr>
      <w:r>
        <w:t>Training Assumptions and Guardrails</w:t>
      </w:r>
    </w:p>
    <w:p>
      <w:pPr>
        <w:pStyle w:val="ListBullet"/>
      </w:pPr>
      <w:r>
        <w:t>CivicConnect and all employee evidence are fictional training inputs.</w:t>
      </w:r>
    </w:p>
    <w:p>
      <w:pPr>
        <w:pStyle w:val="ListBullet"/>
      </w:pPr>
      <w:r>
        <w:t>There is no evidence that a one-hour webinar alone will address the primary work demands.</w:t>
      </w:r>
    </w:p>
    <w:p>
      <w:pPr>
        <w:pStyle w:val="ListBullet"/>
      </w:pPr>
      <w:r>
        <w:t>The operating budget allows changes to rosters, escalation, peer support and a targeted development programme.</w:t>
      </w:r>
    </w:p>
    <w:p>
      <w:pPr>
        <w:pStyle w:val="ListBullet"/>
      </w:pPr>
      <w:r>
        <w:t>Any clinical support must be delivered by appropriately qualified providers.</w:t>
      </w:r>
    </w:p>
    <w:p>
      <w:pPr>
        <w:pStyle w:val="Heading2"/>
      </w:pPr>
      <w:r>
        <w:t>Scenario Questions</w:t>
      </w:r>
    </w:p>
    <w:p>
      <w:pPr>
        <w:ind w:left="317" w:hanging="317"/>
      </w:pPr>
      <w:r>
        <w:t>Question 1: Which demands are preventable, reducible or unavoidable?</w:t>
      </w:r>
    </w:p>
    <w:p>
      <w:pPr>
        <w:ind w:left="317" w:hanging="317"/>
      </w:pPr>
      <w:r>
        <w:t>Question 2: Which resources are missing at individual, team and organisational levels?</w:t>
      </w:r>
    </w:p>
    <w:p>
      <w:pPr>
        <w:ind w:left="317" w:hanging="317"/>
      </w:pPr>
      <w:r>
        <w:t>Question 3: What sequence balances immediate relief with sustainable redesign?</w:t>
      </w:r>
    </w:p>
    <w:p>
      <w:pPr>
        <w:ind w:left="317" w:hanging="317"/>
      </w:pPr>
      <w:r>
        <w:t>Question 4: How will leaders know whether the change improves recovery and service?</w:t>
      </w:r>
    </w:p>
    <w:p>
      <w:pPr>
        <w:pStyle w:val="Heading2"/>
      </w:pPr>
      <w:r>
        <w:t>Detailed Step-by-Step Activity</w:t>
      </w:r>
    </w:p>
    <w:p>
      <w:pPr>
        <w:pStyle w:val="Heading3"/>
      </w:pPr>
      <w:r>
        <w:t>Step 1 — Map the employee journey</w:t>
      </w:r>
    </w:p>
    <w:p>
      <w:r>
        <w:t>Trace a typical shift from preparation to recovery. Mark workload peaks, emotional demands, control, breaks, support and handoffs.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Classify demands</w:t>
      </w:r>
    </w:p>
    <w:p>
      <w:r>
        <w:t>Separate hindrance demands to remove, challenge demands to resource and unavoidable exposure to mitigate. Cite employee evidence for each.</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Map existing resources</w:t>
      </w:r>
    </w:p>
    <w:p>
      <w:r>
        <w:t>Assess role clarity, autonomy, staffing, skills, supervisor support, peer support, recovery time and professional help.</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Design immediate controls</w:t>
      </w:r>
    </w:p>
    <w:p>
      <w:r>
        <w:t>Choose actions for the next two weeks: workload triage, escalation, break protection, supervisor check-ins and post-incident support.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Design systemic changes</w:t>
      </w:r>
    </w:p>
    <w:p>
      <w:r>
        <w:t>Revise staffing, scheduling, abusive-caller policy, decision authority, queue design and manager accountability.</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Add capability support</w:t>
      </w:r>
    </w:p>
    <w:p>
      <w:r>
        <w:t>Specify a structured, experiential resilience component that complements work redesign. Include practice, peer learning, coaching and referral boundaries.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Plan implementation</w:t>
      </w:r>
    </w:p>
    <w:p>
      <w:r>
        <w:t>Assign sponsor, owner, resources, consultation, communications, milestones, risks and feedback routes for 30/60/90 days.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Set evaluation rules</w:t>
      </w:r>
    </w:p>
    <w:p>
      <w:r>
        <w:t>Choose demand, resource, experience, service and safety measures. Define equity checks and a management review date.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plan removes or reduces at least two preventable demands, adds team and organisational resources, treats individual training as complementary, includes safe escalation and has balanced employee/service measures.</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Activity 5 — Whole-Person Wellness Programme Portfolio</w:t>
      </w:r>
    </w:p>
    <w:p>
      <w:r>
        <w:t>TSC mapping: K4 · A3 · A4 · LO2. Design an inclusive portfolio for distinct employee needs.</w:t>
      </w:r>
    </w:p>
    <w:p>
      <w:pPr>
        <w:pStyle w:val="Heading2"/>
      </w:pPr>
      <w:r>
        <w:t>Goal and Deliverable</w:t>
      </w:r>
    </w:p>
    <w:p>
      <w:r>
        <w:t>Convert a broad wellness ambition into a coherent prevention-to-recovery portfolio with access, ownership and evidence.</w:t>
      </w:r>
    </w:p>
    <w:p>
      <w:pPr>
        <w:pStyle w:val="ListBullet"/>
      </w:pPr>
      <w:r>
        <w:t>Deliverable: Whole-person programme architecture with component logic models and priorities</w:t>
      </w:r>
    </w:p>
    <w:p>
      <w:pPr>
        <w:pStyle w:val="Heading2"/>
      </w:pPr>
      <w:r>
        <w:t>Real-World Scenario</w:t>
      </w:r>
    </w:p>
    <w:p>
      <w:r>
        <w:t>The published VHA Whole Health model emphasises whole-person goals and values, health coaching, wellbeing programmes and clinical care within a wider system. It illustrates how an ecosystem can orient support around what matters to the person rather than a fragmented menu of services.</w:t>
      </w:r>
    </w:p>
    <w:p>
      <w:r>
        <w:t>HarbourView Hospitality, a fictional hotel group, wants one portfolio for 900 shift, office, food-service and facilities employees. Current offers are an annual health screen and ad-hoc fitness challenges with low shift-worker participation.</w:t>
      </w:r>
    </w:p>
    <w:p>
      <w:r>
        <w:t xml:space="preserve">Source: </w:t>
      </w:r>
      <w:hyperlink r:id="rId14">
        <w:r>
          <w:rPr>
            <w:color w:val="1F6FEB"/>
            <w:u w:val="single"/>
          </w:rPr>
          <w:t>https://pmc.ncbi.nlm.nih.gov/articles/PMC8168167/</w:t>
        </w:r>
      </w:hyperlink>
    </w:p>
    <w:p>
      <w:pPr>
        <w:pStyle w:val="Heading2"/>
      </w:pPr>
      <w:r>
        <w:t>Training Assumptions and Guardrails</w:t>
      </w:r>
    </w:p>
    <w:p>
      <w:pPr>
        <w:pStyle w:val="ListBullet"/>
      </w:pPr>
      <w:r>
        <w:t>HarbourView, workforce data and current service performance are fictional.</w:t>
      </w:r>
    </w:p>
    <w:p>
      <w:pPr>
        <w:pStyle w:val="ListBullet"/>
      </w:pPr>
      <w:r>
        <w:t>The organisation can use HPB resources where eligible but must validate current programme terms before commitment.</w:t>
      </w:r>
    </w:p>
    <w:p>
      <w:pPr>
        <w:pStyle w:val="ListBullet"/>
      </w:pPr>
      <w:r>
        <w:t>Employee groups differ in schedule, physical demand, language, financial concerns and digital access.</w:t>
      </w:r>
    </w:p>
    <w:p>
      <w:pPr>
        <w:pStyle w:val="ListBullet"/>
      </w:pPr>
      <w:r>
        <w:t>Health screening results will not be shared with line managers.</w:t>
      </w:r>
    </w:p>
    <w:p>
      <w:pPr>
        <w:pStyle w:val="Heading2"/>
      </w:pPr>
      <w:r>
        <w:t>Scenario Questions</w:t>
      </w:r>
    </w:p>
    <w:p>
      <w:pPr>
        <w:ind w:left="317" w:hanging="317"/>
      </w:pPr>
      <w:r>
        <w:t>Question 1: Which shared and targeted needs should the portfolio address?</w:t>
      </w:r>
    </w:p>
    <w:p>
      <w:pPr>
        <w:ind w:left="317" w:hanging="317"/>
      </w:pPr>
      <w:r>
        <w:t>Question 2: How will prevention, early help, support and recovery connect?</w:t>
      </w:r>
    </w:p>
    <w:p>
      <w:pPr>
        <w:ind w:left="317" w:hanging="317"/>
      </w:pPr>
      <w:r>
        <w:t>Question 3: What makes each pathway accessible and trustworthy for shift employees?</w:t>
      </w:r>
    </w:p>
    <w:p>
      <w:pPr>
        <w:ind w:left="317" w:hanging="317"/>
      </w:pPr>
      <w:r>
        <w:t>Question 4: Which components should be piloted, scaled, partnered or stopped?</w:t>
      </w:r>
    </w:p>
    <w:p>
      <w:pPr>
        <w:pStyle w:val="Heading2"/>
      </w:pPr>
      <w:r>
        <w:t>Detailed Step-by-Step Activity</w:t>
      </w:r>
    </w:p>
    <w:p>
      <w:pPr>
        <w:pStyle w:val="Heading3"/>
      </w:pPr>
      <w:r>
        <w:t>Step 1 — Synthesize needs</w:t>
      </w:r>
    </w:p>
    <w:p>
      <w:r>
        <w:t>Use the supplied personas and data to identify shared conditions and distinct barriers. Label evidence confidence and gaps.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Write portfolio principles</w:t>
      </w:r>
    </w:p>
    <w:p>
      <w:r>
        <w:t>Agree voluntariness, privacy, inclusion, clinical boundaries, paid access, employee voice and job-design responsibilities.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Map the current offer</w:t>
      </w:r>
    </w:p>
    <w:p>
      <w:r>
        <w:t>Place existing services across prevention, promotion, early help, treatment and recovery. Identify duplication and missing pathways.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Generate options</w:t>
      </w:r>
    </w:p>
    <w:p>
      <w:r>
        <w:t>Design physical, mental, financial and social components plus work-design changes. Link every option to a stated need.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Build logic models</w:t>
      </w:r>
    </w:p>
    <w:p>
      <w:r>
        <w:t>For each shortlisted component, map inputs, activity, reach, experience, condition or behaviour change and intended outcome.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Design access</w:t>
      </w:r>
    </w:p>
    <w:p>
      <w:r>
        <w:t>Specify shift timing, languages, disability access, device alternatives, manager release time, confidentiality and navigation.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Prioritise the portfolio</w:t>
      </w:r>
    </w:p>
    <w:p>
      <w:r>
        <w:t>Score need, equity, evidence, feasibility, risk, cost and measurability. Choose pilot, scale, partner or stop.</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Create governance</w:t>
      </w:r>
    </w:p>
    <w:p>
      <w:r>
        <w:t>Assign sponsor, programme owner, provider responsibilities, employee advisory input, safeguards and quarterly review.</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Every component links to an evidenced need, the portfolio covers work conditions plus support, access is designed for distinct groups, clinical/privacy boundaries are explicit and each component has an owner and review measure.</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Activity 6 — Mental-Wellbeing Policy-to-Practice Playbook</w:t>
      </w:r>
    </w:p>
    <w:p>
      <w:r>
        <w:t>TSC mapping: K5 · A4 · LO2. Translate policy into safe day-to-day manager and team practices.</w:t>
      </w:r>
    </w:p>
    <w:p>
      <w:pPr>
        <w:pStyle w:val="Heading2"/>
      </w:pPr>
      <w:r>
        <w:t>Goal and Deliverable</w:t>
      </w:r>
    </w:p>
    <w:p>
      <w:r>
        <w:t>Turn a generic mental-wellbeing policy into observable routines, decision rights, scripts and escalation paths.</w:t>
      </w:r>
    </w:p>
    <w:p>
      <w:pPr>
        <w:pStyle w:val="ListBullet"/>
      </w:pPr>
      <w:r>
        <w:t>Deliverable: Policy-to-practice manager playbook and implementation evidence plan</w:t>
      </w:r>
    </w:p>
    <w:p>
      <w:pPr>
        <w:pStyle w:val="Heading2"/>
      </w:pPr>
      <w:r>
        <w:t>Real-World Scenario</w:t>
      </w:r>
    </w:p>
    <w:p>
      <w:r>
        <w:t>Singapore's tripartite guidance encourages employers to strengthen mental wellbeing through organisation-, team- and individual-level practices, including leadership, supportive managers, work-life harmony, access to help and appropriate confidentiality.</w:t>
      </w:r>
    </w:p>
    <w:p>
      <w:r>
        <w:t>EastLine Distribution, a fictional employer, has a two-page wellbeing policy but inconsistent practice. One manager demands clinical details, another ignores repeated overtime, and employees do not understand when HR or emergency support becomes involved.</w:t>
      </w:r>
    </w:p>
    <w:p>
      <w:r>
        <w:t xml:space="preserve">Source: </w:t>
      </w:r>
      <w:hyperlink r:id="rId15">
        <w:r>
          <w:rPr>
            <w:color w:val="1F6FEB"/>
            <w:u w:val="single"/>
          </w:rPr>
          <w:t>https://www.tal.sg/tafep/employment-practices/mental-health</w:t>
        </w:r>
      </w:hyperlink>
    </w:p>
    <w:p>
      <w:pPr>
        <w:pStyle w:val="Heading2"/>
      </w:pPr>
      <w:r>
        <w:t>Training Assumptions and Guardrails</w:t>
      </w:r>
    </w:p>
    <w:p>
      <w:pPr>
        <w:pStyle w:val="ListBullet"/>
      </w:pPr>
      <w:r>
        <w:t>All characters and events are fictional learning scenarios.</w:t>
      </w:r>
    </w:p>
    <w:p>
      <w:pPr>
        <w:pStyle w:val="ListBullet"/>
      </w:pPr>
      <w:r>
        <w:t>Managers are not clinicians and must not diagnose or provide therapy.</w:t>
      </w:r>
    </w:p>
    <w:p>
      <w:pPr>
        <w:pStyle w:val="ListBullet"/>
      </w:pPr>
      <w:r>
        <w:t>The organisation has HR, an EAP and a documented emergency escalation route.</w:t>
      </w:r>
    </w:p>
    <w:p>
      <w:pPr>
        <w:pStyle w:val="ListBullet"/>
      </w:pPr>
      <w:r>
        <w:t>Work adjustments depend on role and risk but should use only necessary information.</w:t>
      </w:r>
    </w:p>
    <w:p>
      <w:pPr>
        <w:pStyle w:val="Heading2"/>
      </w:pPr>
      <w:r>
        <w:t>Scenario Questions</w:t>
      </w:r>
    </w:p>
    <w:p>
      <w:pPr>
        <w:ind w:left="317" w:hanging="317"/>
      </w:pPr>
      <w:r>
        <w:t>Question 1: Which policy statements need a concrete routine, tool or decision right?</w:t>
      </w:r>
    </w:p>
    <w:p>
      <w:pPr>
        <w:ind w:left="317" w:hanging="317"/>
      </w:pPr>
      <w:r>
        <w:t>Question 2: What can managers ask, record, decide and escalate?</w:t>
      </w:r>
    </w:p>
    <w:p>
      <w:pPr>
        <w:ind w:left="317" w:hanging="317"/>
      </w:pPr>
      <w:r>
        <w:t>Question 3: How should the playbook handle immediate safety concerns and ordinary work support differently?</w:t>
      </w:r>
    </w:p>
    <w:p>
      <w:pPr>
        <w:ind w:left="317" w:hanging="317"/>
      </w:pPr>
      <w:r>
        <w:t>Question 4: What evidence demonstrates implementation beyond attendance at training?</w:t>
      </w:r>
    </w:p>
    <w:p>
      <w:pPr>
        <w:pStyle w:val="Heading2"/>
      </w:pPr>
      <w:r>
        <w:t>Detailed Step-by-Step Activity</w:t>
      </w:r>
    </w:p>
    <w:p>
      <w:pPr>
        <w:pStyle w:val="Heading3"/>
      </w:pPr>
      <w:r>
        <w:t>Step 1 — Extract policy intent</w:t>
      </w:r>
    </w:p>
    <w:p>
      <w:r>
        <w:t>Highlight each promise, duty, boundary and escalation requirement. Rewrite vague verbs such as support or promote as observable outcomes.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Map employee moments</w:t>
      </w:r>
    </w:p>
    <w:p>
      <w:r>
        <w:t>Identify normal check-ins, visible change, request for help, work adjustment, conflict, absence, return-to-work and immediate safety concern.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Assign decision rights</w:t>
      </w:r>
    </w:p>
    <w:p>
      <w:r>
        <w:t>For every moment, state employee, manager, HR, safety and provider roles; identify what is outside manager authority.</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Write conversation guides</w:t>
      </w:r>
    </w:p>
    <w:p>
      <w:r>
        <w:t>Create short Notice–Ask–Listen–Act–Follow-up prompts using observable facts, privacy-respecting questions and no diagnosis.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Define documentation</w:t>
      </w:r>
    </w:p>
    <w:p>
      <w:r>
        <w:t>Specify the minimum record, access, storage and retention. Separate operational adjustment information from clinical details.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Build escalation routes</w:t>
      </w:r>
    </w:p>
    <w:p>
      <w:r>
        <w:t>Distinguish routine referral, complex case consultation, urgent risk and emergency response. Include after-hours paths and handoff confirmation.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Plan capability rollout</w:t>
      </w:r>
    </w:p>
    <w:p>
      <w:r>
        <w:t>Use demonstration, practice scenarios, feedback and supervisor coaching. Add resources, communications and employee-facing expectations.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Verify implementation</w:t>
      </w:r>
    </w:p>
    <w:p>
      <w:r>
        <w:t>Select audits, employee feedback, manager confidence, response-time and case-quality evidence; assign corrective action and review.</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playbook covers routine through emergency situations, limits collection and diagnosis, names decision rights and handoffs, provides usable scripts and defines evidence of practice quality rather than training completion alone.</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Activity 7 — Participation and Partnership Recovery Plan</w:t>
      </w:r>
    </w:p>
    <w:p>
      <w:r>
        <w:t>TSC mapping: K4 · K5 · A4 · LO2. Remove participation barriers and govern delivery partners for a sustainable programme.</w:t>
      </w:r>
    </w:p>
    <w:p>
      <w:pPr>
        <w:pStyle w:val="Heading2"/>
      </w:pPr>
      <w:r>
        <w:t>Goal and Deliverable</w:t>
      </w:r>
    </w:p>
    <w:p>
      <w:r>
        <w:t>Diagnose low engagement in an existing programme and redesign access, communication, incentives and vendor governance.</w:t>
      </w:r>
    </w:p>
    <w:p>
      <w:pPr>
        <w:pStyle w:val="ListBullet"/>
      </w:pPr>
      <w:r>
        <w:t>Deliverable: Participation recovery plan, vendor scorecard and budget-backed experiment</w:t>
      </w:r>
    </w:p>
    <w:p>
      <w:pPr>
        <w:pStyle w:val="Heading2"/>
      </w:pPr>
      <w:r>
        <w:t>Real-World Scenario</w:t>
      </w:r>
    </w:p>
    <w:p>
      <w:r>
        <w:t>The NCBI review highlights multilevel leadership, organisational alignment, programme scope and quality, accessibility, partnerships and communications as core elements, while identifying awareness, time, manager support, access, privacy and perceived benefit as participation barriers.</w:t>
      </w:r>
    </w:p>
    <w:p>
      <w:r>
        <w:t>SkyGarden Retail, a fictional 1,100-person business, pays for an EAP and wellness portal. Registration is 44%, first use 12%, repeat use 3%, and night-shift uptake is below 1%. Leaders propose a prize draw for registrations.</w:t>
      </w:r>
    </w:p>
    <w:p>
      <w:r>
        <w:t xml:space="preserve">Source: </w:t>
      </w:r>
      <w:hyperlink r:id="rId12">
        <w:r>
          <w:rPr>
            <w:color w:val="1F6FEB"/>
            <w:u w:val="single"/>
          </w:rPr>
          <w:t>https://www.ncbi.nlm.nih.gov/books/NBK201567/</w:t>
        </w:r>
      </w:hyperlink>
    </w:p>
    <w:p>
      <w:pPr>
        <w:pStyle w:val="Heading2"/>
      </w:pPr>
      <w:r>
        <w:t>Training Assumptions and Guardrails</w:t>
      </w:r>
    </w:p>
    <w:p>
      <w:pPr>
        <w:pStyle w:val="ListBullet"/>
      </w:pPr>
      <w:r>
        <w:t>All funnel, budget, vendor and employee-comment data are fictional.</w:t>
      </w:r>
    </w:p>
    <w:p>
      <w:pPr>
        <w:pStyle w:val="ListBullet"/>
      </w:pPr>
      <w:r>
        <w:t>Registration is not evidence of benefit and may be a vanity metric.</w:t>
      </w:r>
    </w:p>
    <w:p>
      <w:pPr>
        <w:pStyle w:val="ListBullet"/>
      </w:pPr>
      <w:r>
        <w:t>The vendor can provide privacy-safe aggregates but the current contract lacks response-time and accessibility standards.</w:t>
      </w:r>
    </w:p>
    <w:p>
      <w:pPr>
        <w:pStyle w:val="ListBullet"/>
      </w:pPr>
      <w:r>
        <w:t>A S$35,000 budget can be reallocated across access, communication, manager release time and service capacity.</w:t>
      </w:r>
    </w:p>
    <w:p>
      <w:pPr>
        <w:pStyle w:val="Heading2"/>
      </w:pPr>
      <w:r>
        <w:t>Scenario Questions</w:t>
      </w:r>
    </w:p>
    <w:p>
      <w:pPr>
        <w:ind w:left="317" w:hanging="317"/>
      </w:pPr>
      <w:r>
        <w:t>Question 1: Where does the participation funnel fail for each workforce group?</w:t>
      </w:r>
    </w:p>
    <w:p>
      <w:pPr>
        <w:ind w:left="317" w:hanging="317"/>
      </w:pPr>
      <w:r>
        <w:t>Question 2: Which barriers are awareness, access, trust, relevance, manager or service-quality problems?</w:t>
      </w:r>
    </w:p>
    <w:p>
      <w:pPr>
        <w:ind w:left="317" w:hanging="317"/>
      </w:pPr>
      <w:r>
        <w:t>Question 3: Would the proposed incentive support or distort the intended behaviour?</w:t>
      </w:r>
    </w:p>
    <w:p>
      <w:pPr>
        <w:ind w:left="317" w:hanging="317"/>
      </w:pPr>
      <w:r>
        <w:t>Question 4: What partner standards and experiment would restore sustainable participation?</w:t>
      </w:r>
    </w:p>
    <w:p>
      <w:pPr>
        <w:pStyle w:val="Heading2"/>
      </w:pPr>
      <w:r>
        <w:t>Detailed Step-by-Step Activity</w:t>
      </w:r>
    </w:p>
    <w:p>
      <w:pPr>
        <w:pStyle w:val="Heading3"/>
      </w:pPr>
      <w:r>
        <w:t>Step 1 — Analyse the funnel</w:t>
      </w:r>
    </w:p>
    <w:p>
      <w:r>
        <w:t>Calculate eligible-to-aware, aware-to-register, register-to-first-use and first-to-repeat conversion by group. Apply small-cell suppression.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Code employee voice</w:t>
      </w:r>
    </w:p>
    <w:p>
      <w:r>
        <w:t>Group comments into awareness, time, access, trust, relevance, manager and service experience. Preserve contradictory evidence.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Find root causes</w:t>
      </w:r>
    </w:p>
    <w:p>
      <w:r>
        <w:t>Use a barrier map to distinguish communication symptoms from work-design, service-capacity, privacy and vendor causes.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Review the incentive</w:t>
      </w:r>
    </w:p>
    <w:p>
      <w:r>
        <w:t>Test voluntariness, fairness, behaviour targeted, privacy and sustainability. Redesign or reject the prize draw with reasons.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Strengthen the partnership</w:t>
      </w:r>
    </w:p>
    <w:p>
      <w:r>
        <w:t>Add service standards for response, quality, escalation, accessibility, safe aggregates, security, breach handling and corrective action.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Reallocate budget</w:t>
      </w:r>
    </w:p>
    <w:p>
      <w:r>
        <w:t>Fund changes across paid access time, shift coverage, trusted communication, language/accessibility, service capacity and evaluation.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Design a recovery experiment</w:t>
      </w:r>
    </w:p>
    <w:p>
      <w:r>
        <w:t>State target group, barrier, change, baseline, measure, duration, safeguard and success/stop rule.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Set governance</w:t>
      </w:r>
    </w:p>
    <w:p>
      <w:r>
        <w:t>Assign owner, vendor forum, issue route, monthly evidence review and decision date for adapt, scale or exit.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plan diagnoses funnel loss by group, addresses at least three root-cause categories, avoids coercive incentives, sets vendor quality/privacy standards and defines a measurable experiment with owner and stop rule.</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Topic 3 — Communication, Feedback and Improvement</w:t>
      </w:r>
    </w:p>
    <w:p>
      <w:r>
        <w:t>TSC mapping: K6 · K7 · A5 · A6. benefits · audience · channels · trust · feedback · metrics · management review.</w:t>
      </w:r>
    </w:p>
    <w:p>
      <w:pPr>
        <w:pStyle w:val="Heading2"/>
      </w:pPr>
      <w:r>
        <w:t>Key Concepts</w:t>
      </w:r>
    </w:p>
    <w:p>
      <w:pPr>
        <w:pStyle w:val="ListBullet"/>
      </w:pPr>
      <w:r>
        <w:t>Benefit: Describe a credible employee and organisational value proposition without overpromising.</w:t>
      </w:r>
    </w:p>
    <w:p>
      <w:pPr>
        <w:pStyle w:val="ListBullet"/>
      </w:pPr>
      <w:r>
        <w:t>Communication: Match message, messenger, channel, timing and call to action to each audience.</w:t>
      </w:r>
    </w:p>
    <w:p>
      <w:pPr>
        <w:pStyle w:val="ListBullet"/>
      </w:pPr>
      <w:r>
        <w:t>Feedback: Combine safe quantitative and qualitative evidence; make it easy to speak and see a response.</w:t>
      </w:r>
    </w:p>
    <w:p>
      <w:pPr>
        <w:pStyle w:val="ListBullet"/>
      </w:pPr>
      <w:r>
        <w:t>Improvement: Use a logic model, equity checks and management decisions to adapt or stop programmes.</w:t>
      </w:r>
    </w:p>
    <w:p>
      <w:pPr>
        <w:pStyle w:val="Heading2"/>
      </w:pPr>
      <w:r>
        <w:t>Trust is part of programme access.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Trust is part of programme access. People will not use support they believe could expose, label or disadvantage them.</w:t>
            </w:r>
          </w:p>
        </w:tc>
      </w:tr>
    </w:tbl>
    <w:p>
      <w:pPr>
        <w:pStyle w:val="Heading2"/>
      </w:pPr>
      <w:r>
        <w:t>Benefits for employees and the organisation</w:t>
      </w:r>
    </w:p>
    <w:p>
      <w:pPr>
        <w:pStyle w:val="Heading3"/>
      </w:pPr>
      <w:r>
        <w:t>Perspective A</w:t>
      </w:r>
    </w:p>
    <w:p>
      <w:pPr>
        <w:pStyle w:val="ListBullet"/>
      </w:pPr>
      <w:r>
        <w:t>Easier access to relevant support and healthier work conditions.</w:t>
      </w:r>
    </w:p>
    <w:p>
      <w:pPr>
        <w:pStyle w:val="ListBullet"/>
      </w:pPr>
      <w:r>
        <w:t>Greater capability, energy, connection and confidence to seek help.</w:t>
      </w:r>
    </w:p>
    <w:p>
      <w:pPr>
        <w:pStyle w:val="ListBullet"/>
      </w:pPr>
      <w:r>
        <w:t>Fairer access across locations, shifts and life circumstances.</w:t>
      </w:r>
    </w:p>
    <w:p>
      <w:pPr>
        <w:pStyle w:val="Heading3"/>
      </w:pPr>
      <w:r>
        <w:t>Perspective B</w:t>
      </w:r>
    </w:p>
    <w:p>
      <w:pPr>
        <w:pStyle w:val="ListBullet"/>
      </w:pPr>
      <w:r>
        <w:t>Potential improvements in absence, retention, engagement and sustainable performance.</w:t>
      </w:r>
    </w:p>
    <w:p>
      <w:pPr>
        <w:pStyle w:val="ListBullet"/>
      </w:pPr>
      <w:r>
        <w:t>Better risk visibility and manager capability.</w:t>
      </w:r>
    </w:p>
    <w:p>
      <w:pPr>
        <w:pStyle w:val="ListBullet"/>
      </w:pPr>
      <w:r>
        <w:t>Benefits depend on context and implementation; association is not proof of causation.</w:t>
      </w:r>
    </w:p>
    <w:p>
      <w:pPr>
        <w:pStyle w:val="Heading2"/>
      </w:pPr>
      <w:r>
        <w:t>Communication design</w:t>
      </w:r>
    </w:p>
    <w:p>
      <w:pPr>
        <w:ind w:left="317" w:hanging="317"/>
      </w:pPr>
      <w:r>
        <w:t>1. Define behaviour or decision</w:t>
      </w:r>
    </w:p>
    <w:p>
      <w:pPr>
        <w:ind w:left="317" w:hanging="317"/>
      </w:pPr>
      <w:r>
        <w:t>2. Segment audience</w:t>
      </w:r>
    </w:p>
    <w:p>
      <w:pPr>
        <w:ind w:left="317" w:hanging="317"/>
      </w:pPr>
      <w:r>
        <w:t>3. Find barrier and motivation</w:t>
      </w:r>
    </w:p>
    <w:p>
      <w:pPr>
        <w:ind w:left="317" w:hanging="317"/>
      </w:pPr>
      <w:r>
        <w:t>4. Craft message and proof</w:t>
      </w:r>
    </w:p>
    <w:p>
      <w:pPr>
        <w:ind w:left="317" w:hanging="317"/>
      </w:pPr>
      <w:r>
        <w:t>5. Choose channel and messenger</w:t>
      </w:r>
    </w:p>
    <w:p>
      <w:pPr>
        <w:ind w:left="317" w:hanging="317"/>
      </w:pPr>
      <w:r>
        <w:t>6. Measure response and adapt</w:t>
      </w:r>
    </w:p>
    <w:p>
      <w:pPr>
        <w:pStyle w:val="Heading2"/>
      </w:pPr>
      <w:r>
        <w:t>Audience differences</w:t>
      </w:r>
    </w:p>
    <w:p>
      <w:pPr>
        <w:pStyle w:val="ListBullet"/>
      </w:pPr>
      <w:r>
        <w:t>Desk-based and hybrid: Digital reach is high, but attention and isolation may be barriers.</w:t>
      </w:r>
    </w:p>
    <w:p>
      <w:pPr>
        <w:pStyle w:val="ListBullet"/>
      </w:pPr>
      <w:r>
        <w:t>Frontline and shift: Supervisor briefings, roster timing and paid access may matter more than email.</w:t>
      </w:r>
    </w:p>
    <w:p>
      <w:pPr>
        <w:pStyle w:val="ListBullet"/>
      </w:pPr>
      <w:r>
        <w:t>Managers: Need role clarity, scripts, boundaries and escalation—not only awareness.</w:t>
      </w:r>
    </w:p>
    <w:p>
      <w:pPr>
        <w:pStyle w:val="ListBullet"/>
      </w:pPr>
      <w:r>
        <w:t>Vulnerable or underserved groups: Require trusted messengers, accessible formats and stronger privacy assurance.</w:t>
      </w:r>
    </w:p>
    <w:p>
      <w:pPr>
        <w:pStyle w:val="Heading2"/>
      </w:pPr>
      <w:r>
        <w:t>Message architecture</w:t>
      </w:r>
    </w:p>
    <w:p>
      <w:pPr>
        <w:pStyle w:val="ListBullet"/>
      </w:pPr>
      <w:r>
        <w:t>Why: Name the employee need and intended benefit in plain language.</w:t>
      </w:r>
    </w:p>
    <w:p>
      <w:pPr>
        <w:pStyle w:val="ListBullet"/>
      </w:pPr>
      <w:r>
        <w:t>What: Explain the offer, boundaries and what it does not do.</w:t>
      </w:r>
    </w:p>
    <w:p>
      <w:pPr>
        <w:pStyle w:val="ListBullet"/>
      </w:pPr>
      <w:r>
        <w:t>How: Give a simple, accessible action and alternative path.</w:t>
      </w:r>
    </w:p>
    <w:p>
      <w:pPr>
        <w:pStyle w:val="ListBullet"/>
      </w:pPr>
      <w:r>
        <w:t>Trust: State privacy, voluntariness, provider and help or complaint route.</w:t>
      </w:r>
    </w:p>
    <w:p>
      <w:pPr>
        <w:pStyle w:val="Heading2"/>
      </w:pPr>
      <w:r>
        <w:t>Communication channels</w:t>
      </w:r>
    </w:p>
    <w:p>
      <w:pPr>
        <w:pStyle w:val="ListBullet"/>
      </w:pPr>
      <w:r>
        <w:t>Digital: Email, intranet, app, Teams, SMS and digital signage.</w:t>
      </w:r>
    </w:p>
    <w:p>
      <w:pPr>
        <w:pStyle w:val="ListBullet"/>
      </w:pPr>
      <w:r>
        <w:t>Human: Managers, champions, HR, union or employee representatives and peers.</w:t>
      </w:r>
    </w:p>
    <w:p>
      <w:pPr>
        <w:pStyle w:val="ListBullet"/>
      </w:pPr>
      <w:r>
        <w:t>Physical: Toolbox talks, posters, payslip inserts and onsite events.</w:t>
      </w:r>
    </w:p>
    <w:p>
      <w:pPr>
        <w:pStyle w:val="ListBullet"/>
      </w:pPr>
      <w:r>
        <w:t>Service moment: Onboarding, return-to-work, benefits enrolment and manager check-ins.</w:t>
      </w:r>
    </w:p>
    <w:p>
      <w:pPr>
        <w:pStyle w:val="Heading2"/>
      </w:pPr>
      <w:r>
        <w:t>Consistency and localisation</w:t>
      </w:r>
    </w:p>
    <w:p>
      <w:pPr>
        <w:pStyle w:val="Heading3"/>
      </w:pPr>
      <w:r>
        <w:t>Perspective A</w:t>
      </w:r>
    </w:p>
    <w:p>
      <w:pPr>
        <w:pStyle w:val="ListBullet"/>
      </w:pPr>
      <w:r>
        <w:t>Keep eligibility, privacy and access promises consistent.</w:t>
      </w:r>
    </w:p>
    <w:p>
      <w:pPr>
        <w:pStyle w:val="ListBullet"/>
      </w:pPr>
      <w:r>
        <w:t>Use a single approved source for dates, contacts and service boundaries.</w:t>
      </w:r>
    </w:p>
    <w:p>
      <w:pPr>
        <w:pStyle w:val="ListBullet"/>
      </w:pPr>
      <w:r>
        <w:t>Train messengers before launch.</w:t>
      </w:r>
    </w:p>
    <w:p>
      <w:pPr>
        <w:pStyle w:val="Heading3"/>
      </w:pPr>
      <w:r>
        <w:t>Perspective B</w:t>
      </w:r>
    </w:p>
    <w:p>
      <w:pPr>
        <w:pStyle w:val="ListBullet"/>
      </w:pPr>
      <w:r>
        <w:t>Adapt examples, language, timing and channel to the audience.</w:t>
      </w:r>
    </w:p>
    <w:p>
      <w:pPr>
        <w:pStyle w:val="ListBullet"/>
      </w:pPr>
      <w:r>
        <w:t>Use culturally relevant and accessible formats.</w:t>
      </w:r>
    </w:p>
    <w:p>
      <w:pPr>
        <w:pStyle w:val="ListBullet"/>
      </w:pPr>
      <w:r>
        <w:t>Test comprehension, not merely message delivery.</w:t>
      </w:r>
    </w:p>
    <w:p>
      <w:pPr>
        <w:pStyle w:val="Heading2"/>
      </w:pPr>
      <w:r>
        <w:t>Employee feedback system</w:t>
      </w:r>
    </w:p>
    <w:p>
      <w:pPr>
        <w:ind w:left="317" w:hanging="317"/>
      </w:pPr>
      <w:r>
        <w:t>1. Ask a focused question</w:t>
      </w:r>
    </w:p>
    <w:p>
      <w:pPr>
        <w:ind w:left="317" w:hanging="317"/>
      </w:pPr>
      <w:r>
        <w:t>2. Offer safe channels</w:t>
      </w:r>
    </w:p>
    <w:p>
      <w:pPr>
        <w:ind w:left="317" w:hanging="317"/>
      </w:pPr>
      <w:r>
        <w:t>3. Protect identity</w:t>
      </w:r>
    </w:p>
    <w:p>
      <w:pPr>
        <w:ind w:left="317" w:hanging="317"/>
      </w:pPr>
      <w:r>
        <w:t>4. Analyse themes and gaps</w:t>
      </w:r>
    </w:p>
    <w:p>
      <w:pPr>
        <w:ind w:left="317" w:hanging="317"/>
      </w:pPr>
      <w:r>
        <w:t>5. Decide and assign</w:t>
      </w:r>
    </w:p>
    <w:p>
      <w:pPr>
        <w:ind w:left="317" w:hanging="317"/>
      </w:pPr>
      <w:r>
        <w:t>6. Close the loop</w:t>
      </w:r>
    </w:p>
    <w:p>
      <w:pPr>
        <w:pStyle w:val="Heading2"/>
      </w:pPr>
      <w:r>
        <w:t>Feedback methods</w:t>
      </w:r>
    </w:p>
    <w:p>
      <w:pPr>
        <w:pStyle w:val="ListBullet"/>
      </w:pPr>
      <w:r>
        <w:t>Survey: Scalable trends and segments; vulnerable to low response and design bias.</w:t>
      </w:r>
    </w:p>
    <w:p>
      <w:pPr>
        <w:pStyle w:val="ListBullet"/>
      </w:pPr>
      <w:r>
        <w:t>Focus group: Rich shared experience; power dynamics and confidentiality need facilitation.</w:t>
      </w:r>
    </w:p>
    <w:p>
      <w:pPr>
        <w:pStyle w:val="ListBullet"/>
      </w:pPr>
      <w:r>
        <w:t>Interview: Deep individual context; slower and harder to anonymise.</w:t>
      </w:r>
    </w:p>
    <w:p>
      <w:pPr>
        <w:pStyle w:val="ListBullet"/>
      </w:pPr>
      <w:r>
        <w:t>Programme and service data: Behavioural evidence; may not explain why people did or did not engage.</w:t>
      </w:r>
    </w:p>
    <w:p>
      <w:pPr>
        <w:pStyle w:val="Heading2"/>
      </w:pPr>
      <w:r>
        <w:t>Additional listening channels</w:t>
      </w:r>
    </w:p>
    <w:p>
      <w:pPr>
        <w:pStyle w:val="ListBullet"/>
      </w:pPr>
      <w:r>
        <w:t>Social listening: Use public or authorised data, clear purpose and ethical boundaries.</w:t>
      </w:r>
    </w:p>
    <w:p>
      <w:pPr>
        <w:pStyle w:val="ListBullet"/>
      </w:pPr>
      <w:r>
        <w:t>Exit and stay interviews: Reveal experience and retention factors; avoid treating departure as the only safe time to speak.</w:t>
      </w:r>
    </w:p>
    <w:p>
      <w:pPr>
        <w:pStyle w:val="ListBullet"/>
      </w:pPr>
      <w:r>
        <w:t>Suggestion and speak-up routes: Enable ongoing issues with acknowledgement and escalation.</w:t>
      </w:r>
    </w:p>
    <w:p>
      <w:pPr>
        <w:pStyle w:val="ListBullet"/>
      </w:pPr>
      <w:r>
        <w:t>Manager observations: Useful operational signal, but not a proxy for confidential employee voice.</w:t>
      </w:r>
    </w:p>
    <w:p>
      <w:pPr>
        <w:pStyle w:val="Heading2"/>
      </w:pPr>
      <w:r>
        <w:t>Anonymous and confidential</w:t>
      </w:r>
    </w:p>
    <w:p>
      <w:pPr>
        <w:pStyle w:val="Heading3"/>
      </w:pPr>
      <w:r>
        <w:t>Perspective A</w:t>
      </w:r>
    </w:p>
    <w:p>
      <w:pPr>
        <w:pStyle w:val="ListBullet"/>
      </w:pPr>
      <w:r>
        <w:t>Anonymous means identity is not collected or reasonably recoverable.</w:t>
      </w:r>
    </w:p>
    <w:p>
      <w:pPr>
        <w:pStyle w:val="ListBullet"/>
      </w:pPr>
      <w:r>
        <w:t>Small teams, free text and metadata can defeat anonymity.</w:t>
      </w:r>
    </w:p>
    <w:p>
      <w:pPr>
        <w:pStyle w:val="ListBullet"/>
      </w:pPr>
      <w:r>
        <w:t>Set minimum reporting cells and redact identifiers.</w:t>
      </w:r>
    </w:p>
    <w:p>
      <w:pPr>
        <w:pStyle w:val="Heading3"/>
      </w:pPr>
      <w:r>
        <w:t>Perspective B</w:t>
      </w:r>
    </w:p>
    <w:p>
      <w:pPr>
        <w:pStyle w:val="ListBullet"/>
      </w:pPr>
      <w:r>
        <w:t>Confidential means authorised people can know identity under defined limits.</w:t>
      </w:r>
    </w:p>
    <w:p>
      <w:pPr>
        <w:pStyle w:val="ListBullet"/>
      </w:pPr>
      <w:r>
        <w:t>Explain who sees what and when escalation may occur.</w:t>
      </w:r>
    </w:p>
    <w:p>
      <w:pPr>
        <w:pStyle w:val="ListBullet"/>
      </w:pPr>
      <w:r>
        <w:t>Do not promise anonymity when the channel is only confidential.</w:t>
      </w:r>
    </w:p>
    <w:p>
      <w:pPr>
        <w:pStyle w:val="Heading2"/>
      </w:pPr>
      <w:r>
        <w:t>Programme logic model</w:t>
      </w:r>
    </w:p>
    <w:p>
      <w:pPr>
        <w:ind w:left="317" w:hanging="317"/>
      </w:pPr>
      <w:r>
        <w:t>1. Inputs</w:t>
      </w:r>
    </w:p>
    <w:p>
      <w:pPr>
        <w:ind w:left="317" w:hanging="317"/>
      </w:pPr>
      <w:r>
        <w:t>2. Activities</w:t>
      </w:r>
    </w:p>
    <w:p>
      <w:pPr>
        <w:ind w:left="317" w:hanging="317"/>
      </w:pPr>
      <w:r>
        <w:t>3. Reach and participation</w:t>
      </w:r>
    </w:p>
    <w:p>
      <w:pPr>
        <w:ind w:left="317" w:hanging="317"/>
      </w:pPr>
      <w:r>
        <w:t>4. Experience and capability</w:t>
      </w:r>
    </w:p>
    <w:p>
      <w:pPr>
        <w:ind w:left="317" w:hanging="317"/>
      </w:pPr>
      <w:r>
        <w:t>5. Behaviour or condition change</w:t>
      </w:r>
    </w:p>
    <w:p>
      <w:pPr>
        <w:ind w:left="317" w:hanging="317"/>
      </w:pPr>
      <w:r>
        <w:t>6. Wellbeing and organisational outcomes</w:t>
      </w:r>
    </w:p>
    <w:p>
      <w:pPr>
        <w:pStyle w:val="Heading2"/>
      </w:pPr>
      <w:r>
        <w:t>Balanced measures</w:t>
      </w:r>
    </w:p>
    <w:p>
      <w:pPr>
        <w:pStyle w:val="ListBullet"/>
      </w:pPr>
      <w:r>
        <w:t>Reach: Eligible employees, awareness and access by relevant group.</w:t>
      </w:r>
    </w:p>
    <w:p>
      <w:pPr>
        <w:pStyle w:val="ListBullet"/>
      </w:pPr>
      <w:r>
        <w:t>Participation: Uptake, repeat use, completion and drop-off.</w:t>
      </w:r>
    </w:p>
    <w:p>
      <w:pPr>
        <w:pStyle w:val="ListBullet"/>
      </w:pPr>
      <w:r>
        <w:t>Experience: Trust, relevance, accessibility, quality and psychological safety.</w:t>
      </w:r>
    </w:p>
    <w:p>
      <w:pPr>
        <w:pStyle w:val="ListBullet"/>
      </w:pPr>
      <w:r>
        <w:t>Outcome: Work conditions, wellbeing indicators and operational outcomes over time.</w:t>
      </w:r>
    </w:p>
    <w:p>
      <w:pPr>
        <w:pStyle w:val="Heading2"/>
      </w:pPr>
      <w:r>
        <w:t>Leading and lagging indicators</w:t>
      </w:r>
    </w:p>
    <w:p>
      <w:pPr>
        <w:pStyle w:val="Heading3"/>
      </w:pPr>
      <w:r>
        <w:t>Perspective A</w:t>
      </w:r>
    </w:p>
    <w:p>
      <w:pPr>
        <w:pStyle w:val="ListBullet"/>
      </w:pPr>
      <w:r>
        <w:t>Leading: manager capability, access, response time, workload controls and participation equity.</w:t>
      </w:r>
    </w:p>
    <w:p>
      <w:pPr>
        <w:pStyle w:val="ListBullet"/>
      </w:pPr>
      <w:r>
        <w:t>They show conditions that can influence later outcomes.</w:t>
      </w:r>
    </w:p>
    <w:p>
      <w:pPr>
        <w:pStyle w:val="ListBullet"/>
      </w:pPr>
      <w:r>
        <w:t>Use them for early correction.</w:t>
      </w:r>
    </w:p>
    <w:p>
      <w:pPr>
        <w:pStyle w:val="Heading3"/>
      </w:pPr>
      <w:r>
        <w:t>Perspective B</w:t>
      </w:r>
    </w:p>
    <w:p>
      <w:pPr>
        <w:pStyle w:val="ListBullet"/>
      </w:pPr>
      <w:r>
        <w:t>Lagging: absence, turnover, claims, incidents and sustained wellbeing outcomes.</w:t>
      </w:r>
    </w:p>
    <w:p>
      <w:pPr>
        <w:pStyle w:val="ListBullet"/>
      </w:pPr>
      <w:r>
        <w:t>They are influenced by many factors and often change slowly.</w:t>
      </w:r>
    </w:p>
    <w:p>
      <w:pPr>
        <w:pStyle w:val="ListBullet"/>
      </w:pPr>
      <w:r>
        <w:t>Avoid attributing change to one programme without suitable evidence.</w:t>
      </w:r>
    </w:p>
    <w:p>
      <w:pPr>
        <w:pStyle w:val="Heading2"/>
      </w:pPr>
      <w:r>
        <w:t>Evaluation threats</w:t>
      </w:r>
    </w:p>
    <w:p>
      <w:pPr>
        <w:pStyle w:val="ListBullet"/>
      </w:pPr>
      <w:r>
        <w:t>Selection bias: Participants may differ from non-participants before the programme.</w:t>
      </w:r>
    </w:p>
    <w:p>
      <w:pPr>
        <w:pStyle w:val="ListBullet"/>
      </w:pPr>
      <w:r>
        <w:t>Confounding: Workload, leadership, seasonality or policy changes influence outcomes.</w:t>
      </w:r>
    </w:p>
    <w:p>
      <w:pPr>
        <w:pStyle w:val="ListBullet"/>
      </w:pPr>
      <w:r>
        <w:t>Small numbers: Percentages may fluctuate and create privacy risk.</w:t>
      </w:r>
    </w:p>
    <w:p>
      <w:pPr>
        <w:pStyle w:val="ListBullet"/>
      </w:pPr>
      <w:r>
        <w:t>Vanity metrics: Registrations and clicks do not prove benefit or safe implementation.</w:t>
      </w:r>
    </w:p>
    <w:p>
      <w:pPr>
        <w:pStyle w:val="Heading2"/>
      </w:pPr>
      <w:r>
        <w:t>Management review</w:t>
      </w:r>
    </w:p>
    <w:p>
      <w:pPr>
        <w:ind w:left="317" w:hanging="317"/>
      </w:pPr>
      <w:r>
        <w:t>1. Review purpose and safeguards</w:t>
      </w:r>
    </w:p>
    <w:p>
      <w:pPr>
        <w:ind w:left="317" w:hanging="317"/>
      </w:pPr>
      <w:r>
        <w:t>2. Compare target with evidence</w:t>
      </w:r>
    </w:p>
    <w:p>
      <w:pPr>
        <w:ind w:left="317" w:hanging="317"/>
      </w:pPr>
      <w:r>
        <w:t>3. Check equity and unintended effects</w:t>
      </w:r>
    </w:p>
    <w:p>
      <w:pPr>
        <w:ind w:left="317" w:hanging="317"/>
      </w:pPr>
      <w:r>
        <w:t>4. Identify causes</w:t>
      </w:r>
    </w:p>
    <w:p>
      <w:pPr>
        <w:ind w:left="317" w:hanging="317"/>
      </w:pPr>
      <w:r>
        <w:t>5. Choose scale, adapt or stop</w:t>
      </w:r>
    </w:p>
    <w:p>
      <w:pPr>
        <w:ind w:left="317" w:hanging="317"/>
      </w:pPr>
      <w:r>
        <w:t>6. Assign and close actions</w:t>
      </w:r>
    </w:p>
    <w:p>
      <w:pPr>
        <w:pStyle w:val="Heading2"/>
      </w:pPr>
      <w:r>
        <w:t>Decision-ready report</w:t>
      </w:r>
    </w:p>
    <w:p>
      <w:pPr>
        <w:pStyle w:val="ListBullet"/>
      </w:pPr>
      <w:r>
        <w:t>Decision: What approval, resource, risk acceptance or change is required?</w:t>
      </w:r>
    </w:p>
    <w:p>
      <w:pPr>
        <w:pStyle w:val="ListBullet"/>
      </w:pPr>
      <w:r>
        <w:t>Evidence: What is known, how reliable is it and what remains uncertain?</w:t>
      </w:r>
    </w:p>
    <w:p>
      <w:pPr>
        <w:pStyle w:val="ListBullet"/>
      </w:pPr>
      <w:r>
        <w:t>Equity and risk: Who benefits, who is missing and what harm may occur?</w:t>
      </w:r>
    </w:p>
    <w:p>
      <w:pPr>
        <w:pStyle w:val="ListBullet"/>
      </w:pPr>
      <w:r>
        <w:t>Action: Owner, due date, measure, communication and next review trigger.</w:t>
      </w:r>
    </w:p>
    <w:p>
      <w:pPr>
        <w:pStyle w:val="Heading2"/>
      </w:pPr>
      <w:r>
        <w:t>Feedback earns trust only when people can see what changed.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Feedback earns trust only when people can see what changed. Close the loop, explain constraints and keep measuring the employee experience.</w:t>
            </w:r>
          </w:p>
        </w:tc>
      </w:tr>
    </w:tbl>
    <w:p>
      <w:pPr>
        <w:pStyle w:val="Heading1"/>
        <w:keepNext/>
      </w:pPr>
      <w:r>
        <w:t>Activity 8 — Inclusive Multi-Channel Wellbeing Campaign</w:t>
      </w:r>
    </w:p>
    <w:p>
      <w:r>
        <w:t>TSC mapping: K6 · K7 · A5 · LO3. Communicate credible programme benefits through appropriate techniques and channels.</w:t>
      </w:r>
    </w:p>
    <w:p>
      <w:pPr>
        <w:pStyle w:val="Heading2"/>
      </w:pPr>
      <w:r>
        <w:t>Goal and Deliverable</w:t>
      </w:r>
    </w:p>
    <w:p>
      <w:r>
        <w:t>Design a trust-centred campaign that reaches office, frontline and mobile employees without overclaiming outcomes.</w:t>
      </w:r>
    </w:p>
    <w:p>
      <w:pPr>
        <w:pStyle w:val="ListBullet"/>
      </w:pPr>
      <w:r>
        <w:t>Deliverable: Audience-message-channel matrix and six-week campaign plan</w:t>
      </w:r>
    </w:p>
    <w:p>
      <w:pPr>
        <w:pStyle w:val="Heading2"/>
      </w:pPr>
      <w:r>
        <w:t>Real-World Scenario</w:t>
      </w:r>
    </w:p>
    <w:p>
      <w:r>
        <w:t>Gallup's research treats career wellbeing as foundational and describes employee wellbeing as connected with engagement, absence, performance and retention. These relationships can guide a value proposition but do not prove that a single campaign or programme causes each outcome.</w:t>
      </w:r>
    </w:p>
    <w:p>
      <w:r>
        <w:t>MetroCare Facilities, a fictional employer, is launching a whole-person support hub. Past email-only campaigns reached office staff but missed cleaners, technicians and overnight teams. Employees worry that managers can see EAP usage.</w:t>
      </w:r>
    </w:p>
    <w:p>
      <w:r>
        <w:t xml:space="preserve">Source: </w:t>
      </w:r>
      <w:hyperlink r:id="rId11">
        <w:r>
          <w:rPr>
            <w:color w:val="1F6FEB"/>
            <w:u w:val="single"/>
          </w:rPr>
          <w:t>https://www.gallup.com/workplace/404105/importance-of-employee-wellbeing.aspx</w:t>
        </w:r>
      </w:hyperlink>
    </w:p>
    <w:p>
      <w:pPr>
        <w:pStyle w:val="Heading2"/>
      </w:pPr>
      <w:r>
        <w:t>Training Assumptions and Guardrails</w:t>
      </w:r>
    </w:p>
    <w:p>
      <w:pPr>
        <w:pStyle w:val="ListBullet"/>
      </w:pPr>
      <w:r>
        <w:t>Personas, channel reach, trust scores and message-test results are fictional.</w:t>
      </w:r>
    </w:p>
    <w:p>
      <w:pPr>
        <w:pStyle w:val="ListBullet"/>
      </w:pPr>
      <w:r>
        <w:t>EAP individual use is confidential to the provider, subject to stated safety and legal boundaries.</w:t>
      </w:r>
    </w:p>
    <w:p>
      <w:pPr>
        <w:pStyle w:val="ListBullet"/>
      </w:pPr>
      <w:r>
        <w:t>The campaign has six weeks and a S$18,000 budget.</w:t>
      </w:r>
    </w:p>
    <w:p>
      <w:pPr>
        <w:pStyle w:val="ListBullet"/>
      </w:pPr>
      <w:r>
        <w:t>No message may promise improved health, productivity or promotion outcomes to an individual participant.</w:t>
      </w:r>
    </w:p>
    <w:p>
      <w:pPr>
        <w:pStyle w:val="Heading2"/>
      </w:pPr>
      <w:r>
        <w:t>Scenario Questions</w:t>
      </w:r>
    </w:p>
    <w:p>
      <w:pPr>
        <w:ind w:left="317" w:hanging="317"/>
      </w:pPr>
      <w:r>
        <w:t>Question 1: What behaviour or decision should each audience take?</w:t>
      </w:r>
    </w:p>
    <w:p>
      <w:pPr>
        <w:ind w:left="317" w:hanging="317"/>
      </w:pPr>
      <w:r>
        <w:t>Question 2: Which benefit, barrier, messenger and channel combination fits each group?</w:t>
      </w:r>
    </w:p>
    <w:p>
      <w:pPr>
        <w:ind w:left="317" w:hanging="317"/>
      </w:pPr>
      <w:r>
        <w:t>Question 3: How will the campaign explain privacy and voluntariness accurately?</w:t>
      </w:r>
    </w:p>
    <w:p>
      <w:pPr>
        <w:ind w:left="317" w:hanging="317"/>
      </w:pPr>
      <w:r>
        <w:t>Question 4: Which measures distinguish delivery, comprehension, trust and action?</w:t>
      </w:r>
    </w:p>
    <w:p>
      <w:pPr>
        <w:pStyle w:val="Heading2"/>
      </w:pPr>
      <w:r>
        <w:t>Detailed Step-by-Step Activity</w:t>
      </w:r>
    </w:p>
    <w:p>
      <w:pPr>
        <w:pStyle w:val="Heading3"/>
      </w:pPr>
      <w:r>
        <w:t>Step 1 — Define campaign outcomes</w:t>
      </w:r>
    </w:p>
    <w:p>
      <w:r>
        <w:t>Set one awareness, one comprehension and one access behaviour per priority audience. Avoid vague goals such as raise awareness.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Segment by access need</w:t>
      </w:r>
    </w:p>
    <w:p>
      <w:r>
        <w:t>Use role, schedule, location, language and channel access rather than unsupported demographic stereotypes.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Map barriers and motivations</w:t>
      </w:r>
    </w:p>
    <w:p>
      <w:r>
        <w:t>For each audience, record time, trust, relevance, manager, digital and service barriers plus a credible employee benefit.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Write the message architecture</w:t>
      </w:r>
    </w:p>
    <w:p>
      <w:r>
        <w:t>Create Why–What–How–Trust copy with accurate eligibility, provider, privacy boundary, action and alternative route.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Select channels and messengers</w:t>
      </w:r>
    </w:p>
    <w:p>
      <w:r>
        <w:t>Combine digital, physical, manager, peer and service-moment channels. Add paid time or roster access where communication alone cannot solve reach.</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Prototype and test</w:t>
      </w:r>
    </w:p>
    <w:p>
      <w:r>
        <w:t>Run comprehension and trust testing with diverse employees. Record misinterpretations and revise before launch.</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Plan cadence</w:t>
      </w:r>
    </w:p>
    <w:p>
      <w:r>
        <w:t>Sequence pre-launch trust, launch action, manager reinforcement and reminder messages without fatigue. Keep details consistent across channels.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Measure and adapt</w:t>
      </w:r>
    </w:p>
    <w:p>
      <w:r>
        <w:t>Track reach, comprehension, trust, access attempts and equitable uptake. Define weekly corrections and a post-campaign review.</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Every priority audience has a defined action, credible benefit, trusted messenger and accessible channel; privacy is accurate; overclaiming is absent; and measures cover reach, comprehension, trust, action and equity.</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Activity 9 — Employee Feedback and Listening System</w:t>
      </w:r>
    </w:p>
    <w:p>
      <w:r>
        <w:t>TSC mapping: K7 · A6 · LO3. Gather safe, representative employee feedback using complementary methods.</w:t>
      </w:r>
    </w:p>
    <w:p>
      <w:pPr>
        <w:pStyle w:val="Heading2"/>
      </w:pPr>
      <w:r>
        <w:t>Goal and Deliverable</w:t>
      </w:r>
    </w:p>
    <w:p>
      <w:r>
        <w:t>Design a feedback system that combines surveys, focus groups, interviews and programme data while protecting identity and closing the loop.</w:t>
      </w:r>
    </w:p>
    <w:p>
      <w:pPr>
        <w:pStyle w:val="ListBullet"/>
      </w:pPr>
      <w:r>
        <w:t>Deliverable: Multi-method listening plan, draft instruments and close-the-loop protocol</w:t>
      </w:r>
    </w:p>
    <w:p>
      <w:pPr>
        <w:pStyle w:val="Heading2"/>
      </w:pPr>
      <w:r>
        <w:t>Real-World Scenario</w:t>
      </w:r>
    </w:p>
    <w:p>
      <w:r>
        <w:t>The Center for Workplace Mental Health describes organisational resilience through leadership, training, a culture of empowerment, purpose, trust and accountability, supportive work environments, flexibility and access to support. Employee voice is needed to understand whether those conditions are experienced in practice.</w:t>
      </w:r>
    </w:p>
    <w:p>
      <w:r>
        <w:t>RiverTech Digital, a fictional hybrid employer, wants quarterly feedback after a wellbeing launch. Employees distrust a survey that collects team, age, disability, free text and email. Managers want raw comments by team.</w:t>
      </w:r>
    </w:p>
    <w:p>
      <w:r>
        <w:t xml:space="preserve">Source: </w:t>
      </w:r>
      <w:hyperlink r:id="rId16">
        <w:r>
          <w:rPr>
            <w:color w:val="1F6FEB"/>
            <w:u w:val="single"/>
          </w:rPr>
          <w:t>https://workplacementalhealth.org/mental-health-topics/resilience</w:t>
        </w:r>
      </w:hyperlink>
    </w:p>
    <w:p>
      <w:pPr>
        <w:pStyle w:val="Heading2"/>
      </w:pPr>
      <w:r>
        <w:t>Training Assumptions and Guardrails</w:t>
      </w:r>
    </w:p>
    <w:p>
      <w:pPr>
        <w:pStyle w:val="ListBullet"/>
      </w:pPr>
      <w:r>
        <w:t>All sample responses and organisational details are fictional.</w:t>
      </w:r>
    </w:p>
    <w:p>
      <w:pPr>
        <w:pStyle w:val="ListBullet"/>
      </w:pPr>
      <w:r>
        <w:t>Reporting groups must meet a minimum threshold and free text needs disclosure review.</w:t>
      </w:r>
    </w:p>
    <w:p>
      <w:pPr>
        <w:pStyle w:val="ListBullet"/>
      </w:pPr>
      <w:r>
        <w:t>An independent research administrator is available for confidential interviews.</w:t>
      </w:r>
    </w:p>
    <w:p>
      <w:pPr>
        <w:pStyle w:val="ListBullet"/>
      </w:pPr>
      <w:r>
        <w:t>Immediate safety disclosures require a defined, transparent escalation route.</w:t>
      </w:r>
    </w:p>
    <w:p>
      <w:pPr>
        <w:pStyle w:val="Heading2"/>
      </w:pPr>
      <w:r>
        <w:t>Scenario Questions</w:t>
      </w:r>
    </w:p>
    <w:p>
      <w:pPr>
        <w:ind w:left="317" w:hanging="317"/>
      </w:pPr>
      <w:r>
        <w:t>Question 1: Which question requires survey, focus group, interview or service data?</w:t>
      </w:r>
    </w:p>
    <w:p>
      <w:pPr>
        <w:ind w:left="317" w:hanging="317"/>
      </w:pPr>
      <w:r>
        <w:t>Question 2: What data should not be collected, and what reporting threshold is safe?</w:t>
      </w:r>
    </w:p>
    <w:p>
      <w:pPr>
        <w:ind w:left="317" w:hanging="317"/>
      </w:pPr>
      <w:r>
        <w:t>Question 3: How will employees understand anonymity, confidentiality and escalation?</w:t>
      </w:r>
    </w:p>
    <w:p>
      <w:pPr>
        <w:ind w:left="317" w:hanging="317"/>
      </w:pPr>
      <w:r>
        <w:t>Question 4: How will management acknowledge, decide and close the feedback loop?</w:t>
      </w:r>
    </w:p>
    <w:p>
      <w:pPr>
        <w:pStyle w:val="Heading2"/>
      </w:pPr>
      <w:r>
        <w:t>Detailed Step-by-Step Activity</w:t>
      </w:r>
    </w:p>
    <w:p>
      <w:pPr>
        <w:pStyle w:val="Heading3"/>
      </w:pPr>
      <w:r>
        <w:t>Step 1 — Define listening questions</w:t>
      </w:r>
    </w:p>
    <w:p>
      <w:r>
        <w:t>Write a small set of decisions the feedback must inform: access, trust, quality, work conditions or outcome. Remove curiosity-only collection.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Choose complementary methods</w:t>
      </w:r>
    </w:p>
    <w:p>
      <w:r>
        <w:t>Match survey, focus group, interview and programme data to each question. Record strengths, bias, burden and privacy risk.</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Design sampling</w:t>
      </w:r>
    </w:p>
    <w:p>
      <w:r>
        <w:t>Identify who must be heard, recruitment route, participation barriers, minimum cell sizes and actions for underrepresented groups.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Draft instruments</w:t>
      </w:r>
    </w:p>
    <w:p>
      <w:r>
        <w:t>Use neutral, single-focus questions, appropriate scales and optional free text. Avoid clinical screening unless qualified governance exists.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Write the privacy notice</w:t>
      </w:r>
    </w:p>
    <w:p>
      <w:r>
        <w:t>Explain purpose, voluntariness, data fields, administrator, recipients, aggregation, retention, withdrawal limits and safety escalation.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Create the analysis protocol</w:t>
      </w:r>
    </w:p>
    <w:p>
      <w:r>
        <w:t>Predefine denominators, suppression, coding, contradictory evidence, uncertainty and free-text redaction. Prohibit manager access to raw comments.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Build the response workflow</w:t>
      </w:r>
    </w:p>
    <w:p>
      <w:r>
        <w:t>Set acknowledgement, triage, urgent escalation, decision owner, action tracking and employee communication timelines.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Pilot and refine</w:t>
      </w:r>
    </w:p>
    <w:p>
      <w:r>
        <w:t>Run cognitive testing and a small pilot. Check comprehension, completion, disclosure risk and whether results can support the intended decision.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system collects only decision-relevant data, uses complementary methods, protects small groups and free text, accurately distinguishes anonymity/confidentiality, includes safety escalation and commits to visible response timelines.</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Activity 10 — Wellbeing Programme Management Review</w:t>
      </w:r>
    </w:p>
    <w:p>
      <w:r>
        <w:t>TSC mapping: K6 · K7 · A5 · A6 · LO3. Assess programme effectiveness and recommend scale, adaptation or stop.</w:t>
      </w:r>
    </w:p>
    <w:p>
      <w:pPr>
        <w:pStyle w:val="Heading2"/>
      </w:pPr>
      <w:r>
        <w:t>Goal and Deliverable</w:t>
      </w:r>
    </w:p>
    <w:p>
      <w:r>
        <w:t>Turn reach, experience, work-condition, outcome and cost evidence into a decision-ready management review.</w:t>
      </w:r>
    </w:p>
    <w:p>
      <w:pPr>
        <w:pStyle w:val="ListBullet"/>
      </w:pPr>
      <w:r>
        <w:t>Deliverable: Balanced programme dashboard and management decision paper</w:t>
      </w:r>
    </w:p>
    <w:p>
      <w:pPr>
        <w:pStyle w:val="Heading2"/>
      </w:pPr>
      <w:r>
        <w:t>Real-World Scenario</w:t>
      </w:r>
    </w:p>
    <w:p>
      <w:r>
        <w:t>McKinsey's workplace research presents wellbeing as a leadership priority and highlights organisational enablers such as psychological safety, purpose and adaptable support. The source supports a systems perspective; the fictional programme dataset must be evaluated on its own quality and cannot inherit causal conclusions.</w:t>
      </w:r>
    </w:p>
    <w:p>
      <w:r>
        <w:t>ApexFin Services, a fictional 760-person employer, piloted manager training, protected focus time, EAP navigation and peer mentoring for 12 months. Participation rose, but absence and turnover moved differently across units. Leaders ask whether to scale nationally.</w:t>
      </w:r>
    </w:p>
    <w:p>
      <w:r>
        <w:t xml:space="preserve">Source: </w:t>
      </w:r>
      <w:hyperlink r:id="rId17">
        <w:r>
          <w:rPr>
            <w:color w:val="1F6FEB"/>
            <w:u w:val="single"/>
          </w:rPr>
          <w:t>https://www.mckinsey.com/featured-insights/mckinsey-guide-to-navigating-the-new-world-of-work/thriving-at-work-building-resilience-wellness-and-motivation</w:t>
        </w:r>
      </w:hyperlink>
    </w:p>
    <w:p>
      <w:pPr>
        <w:pStyle w:val="Heading2"/>
      </w:pPr>
      <w:r>
        <w:t>Training Assumptions and Guardrails</w:t>
      </w:r>
    </w:p>
    <w:p>
      <w:pPr>
        <w:pStyle w:val="ListBullet"/>
      </w:pPr>
      <w:r>
        <w:t>All programme, outcome, cost, baseline and comparison data are fictional.</w:t>
      </w:r>
    </w:p>
    <w:p>
      <w:pPr>
        <w:pStyle w:val="ListBullet"/>
      </w:pPr>
      <w:r>
        <w:t>Business units were not randomly assigned; workload and leadership changes occurred during the pilot.</w:t>
      </w:r>
    </w:p>
    <w:p>
      <w:pPr>
        <w:pStyle w:val="ListBullet"/>
      </w:pPr>
      <w:r>
        <w:t>Small groups and sensitive service data must be aggregated before management reporting.</w:t>
      </w:r>
    </w:p>
    <w:p>
      <w:pPr>
        <w:pStyle w:val="ListBullet"/>
      </w:pPr>
      <w:r>
        <w:t>The decision options are scale, adapt and extend pilot, pause, or stop—not simply pass/fail.</w:t>
      </w:r>
    </w:p>
    <w:p>
      <w:pPr>
        <w:pStyle w:val="Heading2"/>
      </w:pPr>
      <w:r>
        <w:t>Scenario Questions</w:t>
      </w:r>
    </w:p>
    <w:p>
      <w:pPr>
        <w:ind w:left="317" w:hanging="317"/>
      </w:pPr>
      <w:r>
        <w:t>Question 1: Did delivery reach the intended groups safely and equitably?</w:t>
      </w:r>
    </w:p>
    <w:p>
      <w:pPr>
        <w:ind w:left="317" w:hanging="317"/>
      </w:pPr>
      <w:r>
        <w:t>Question 2: What evidence supports changes in experience, work conditions and outcomes?</w:t>
      </w:r>
    </w:p>
    <w:p>
      <w:pPr>
        <w:ind w:left="317" w:hanging="317"/>
      </w:pPr>
      <w:r>
        <w:t>Question 3: Which alternative explanations and data-quality weaknesses limit confidence?</w:t>
      </w:r>
    </w:p>
    <w:p>
      <w:pPr>
        <w:ind w:left="317" w:hanging="317"/>
      </w:pPr>
      <w:r>
        <w:t>Question 4: What should management scale, adapt, pause or stop, and what is the next review trigger?</w:t>
      </w:r>
    </w:p>
    <w:p>
      <w:pPr>
        <w:pStyle w:val="Heading2"/>
      </w:pPr>
      <w:r>
        <w:t>Detailed Step-by-Step Activity</w:t>
      </w:r>
    </w:p>
    <w:p>
      <w:pPr>
        <w:pStyle w:val="Heading3"/>
      </w:pPr>
      <w:r>
        <w:t>Step 1 — Reconstruct the logic model</w:t>
      </w:r>
    </w:p>
    <w:p>
      <w:r>
        <w:t>Map inputs, activities, reach, experience, capability or condition change and outcomes. Mark where the causal chain is unsupported.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Validate the dataset</w:t>
      </w:r>
    </w:p>
    <w:p>
      <w:r>
        <w:t>Check definitions, periods, denominators, missingness, duplicates, group size, baseline comparability and privacy suppression.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Assess implementation</w:t>
      </w:r>
    </w:p>
    <w:p>
      <w:r>
        <w:t>Compare planned with delivered dose, manager participation, service quality, access and safeguards. Explain material deviations.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Analyse reach and equity</w:t>
      </w:r>
    </w:p>
    <w:p>
      <w:r>
        <w:t>Calculate eligibility, awareness, uptake, repeat use and completion by safe segment. Identify who was missed or burdened.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Evaluate outcomes cautiously</w:t>
      </w:r>
    </w:p>
    <w:p>
      <w:r>
        <w:t>Compare baseline and trend for experience, work conditions, wellbeing and operational measures. State confounders and avoid unsupported causation.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Assess value and risk</w:t>
      </w:r>
    </w:p>
    <w:p>
      <w:r>
        <w:t>Compare cost with reach, quality and credible outcome signals. Review incidents, complaints, vendor risk and unintended effects.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Make component decisions</w:t>
      </w:r>
    </w:p>
    <w:p>
      <w:r>
        <w:t>For each intervention, recommend scale, adapt, pause or stop with evidence confidence, condition and owner.</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Run management review</w:t>
      </w:r>
    </w:p>
    <w:p>
      <w:r>
        <w:t>Present decision, evidence, equity, uncertainty, resource need, action, communication and next review trigger; record management acceptance.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review validates data, follows the logic model, separates implementation from outcome, analyses equity, names confounders, avoids causal overclaiming and gives component-level decisions with owners and review triggers.</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pPr>
      <w:r>
        <w:t>Assessment Preparation</w:t>
      </w:r>
    </w:p>
    <w:p>
      <w:pPr>
        <w:pStyle w:val="ListBullet"/>
      </w:pPr>
      <w:r>
        <w:t>Written Assessment (WA-SAQ) — 7 open-ended questions covering K1–K7, 1 hour, open book.</w:t>
      </w:r>
    </w:p>
    <w:p>
      <w:pPr>
        <w:pStyle w:val="ListBullet"/>
      </w:pPr>
      <w:r>
        <w:t>Case Study (CS) — 3 integrated questions covering A1–A6, 1 hour, open book.</w:t>
      </w:r>
    </w:p>
    <w:p>
      <w:pPr>
        <w:pStyle w:val="ListBullet"/>
      </w:pPr>
      <w:r>
        <w:t>Review the activity acceptance tests and be able to explain your judgement in your own words.</w:t>
      </w:r>
    </w:p>
    <w:p>
      <w:pPr>
        <w:pStyle w:val="ListBullet"/>
      </w:pPr>
      <w:r>
        <w:t>Only learner-facing question papers are opened on the LMS; answer keys are trainer-only.</w:t>
      </w:r>
    </w:p>
    <w:p>
      <w:pPr>
        <w:pStyle w:val="Heading2"/>
      </w:pPr>
      <w:r>
        <w:t>Assessment Flow</w:t>
      </w:r>
    </w:p>
    <w:p>
      <w:pPr>
        <w:ind w:left="317" w:hanging="317"/>
      </w:pPr>
      <w:r>
        <w:t>1. Complete SSG/TRAQOM assessment digital attendance.</w:t>
      </w:r>
    </w:p>
    <w:p>
      <w:pPr>
        <w:ind w:left="317" w:hanging="317"/>
      </w:pPr>
      <w:r>
        <w:t>2. Sit the WA-SAQ, then the Case Study.</w:t>
      </w:r>
    </w:p>
    <w:p>
      <w:pPr>
        <w:ind w:left="317" w:hanging="317"/>
      </w:pPr>
      <w:r>
        <w:t>3. Upload completed answers to the LMS.</w:t>
      </w:r>
    </w:p>
    <w:p>
      <w:pPr>
        <w:ind w:left="317" w:hanging="317"/>
      </w:pPr>
      <w:r>
        <w:t>4. Sign the Assessment Summary Record.</w:t>
      </w:r>
    </w:p>
    <w:p>
      <w:pPr>
        <w:pStyle w:val="Heading1"/>
      </w:pPr>
      <w:r>
        <w:t>Sources and Further Reading</w:t>
      </w:r>
    </w:p>
    <w:p>
      <w:r>
        <w:rPr>
          <w:b/>
        </w:rPr>
        <w:t xml:space="preserve">NCBI Bookshelf — Employee wellness programmes: </w:t>
      </w:r>
      <w:hyperlink r:id="rId12">
        <w:r>
          <w:rPr>
            <w:color w:val="1F6FEB"/>
            <w:u w:val="single"/>
          </w:rPr>
          <w:t>https://www.ncbi.nlm.nih.gov/books/NBK201567/</w:t>
        </w:r>
      </w:hyperlink>
    </w:p>
    <w:p>
      <w:r>
        <w:rPr>
          <w:b/>
        </w:rPr>
        <w:t xml:space="preserve">Gallup — The importance of employee wellbeing: </w:t>
      </w:r>
      <w:hyperlink r:id="rId11">
        <w:r>
          <w:rPr>
            <w:color w:val="1F6FEB"/>
            <w:u w:val="single"/>
          </w:rPr>
          <w:t>https://www.gallup.com/workplace/404105/importance-of-employee-wellbeing.aspx</w:t>
        </w:r>
      </w:hyperlink>
    </w:p>
    <w:p>
      <w:r>
        <w:rPr>
          <w:b/>
        </w:rPr>
        <w:t xml:space="preserve">CIPD — Employee resilience evidence review: </w:t>
      </w:r>
      <w:hyperlink r:id="rId13">
        <w:r>
          <w:rPr>
            <w:color w:val="1F6FEB"/>
            <w:u w:val="single"/>
          </w:rPr>
          <w:t>https://www.cipd.org/globalassets/media/knowledge/knowledge-hub/evidence-reviews/employee-resilience-discussion-report_tcm18-91717.pdf</w:t>
        </w:r>
      </w:hyperlink>
    </w:p>
    <w:p>
      <w:r>
        <w:rPr>
          <w:b/>
        </w:rPr>
        <w:t xml:space="preserve">Center for Workplace Mental Health — Resilience: </w:t>
      </w:r>
      <w:hyperlink r:id="rId16">
        <w:r>
          <w:rPr>
            <w:color w:val="1F6FEB"/>
            <w:u w:val="single"/>
          </w:rPr>
          <w:t>https://workplacementalhealth.org/mental-health-topics/resilience</w:t>
        </w:r>
      </w:hyperlink>
    </w:p>
    <w:p>
      <w:r>
        <w:rPr>
          <w:b/>
        </w:rPr>
        <w:t xml:space="preserve">W Talent Solutions — Wellness in the workplace: </w:t>
      </w:r>
      <w:hyperlink r:id="rId18">
        <w:r>
          <w:rPr>
            <w:color w:val="1F6FEB"/>
            <w:u w:val="single"/>
          </w:rPr>
          <w:t>https://wtalentsolutions.com/wellness-in-the-workplace/</w:t>
        </w:r>
      </w:hyperlink>
    </w:p>
    <w:p>
      <w:r>
        <w:rPr>
          <w:b/>
        </w:rPr>
        <w:t xml:space="preserve">McKinsey — Thriving at work: </w:t>
      </w:r>
      <w:hyperlink r:id="rId17">
        <w:r>
          <w:rPr>
            <w:color w:val="1F6FEB"/>
            <w:u w:val="single"/>
          </w:rPr>
          <w:t>https://www.mckinsey.com/featured-insights/mckinsey-guide-to-navigating-the-new-world-of-work/thriving-at-work-building-resilience-wellness-and-motivation</w:t>
        </w:r>
      </w:hyperlink>
    </w:p>
    <w:p>
      <w:r>
        <w:rPr>
          <w:b/>
        </w:rPr>
        <w:t xml:space="preserve">PMC — Resilience ecosystem in high-stress occupations: </w:t>
      </w:r>
      <w:hyperlink r:id="rId19">
        <w:r>
          <w:rPr>
            <w:color w:val="1F6FEB"/>
            <w:u w:val="single"/>
          </w:rPr>
          <w:t>https://pmc.ncbi.nlm.nih.gov/articles/PMC13206323/</w:t>
        </w:r>
      </w:hyperlink>
    </w:p>
    <w:p>
      <w:r>
        <w:rPr>
          <w:b/>
        </w:rPr>
        <w:t xml:space="preserve">Outback Team Building — Corporate wellness and resiliency: </w:t>
      </w:r>
      <w:hyperlink r:id="rId20">
        <w:r>
          <w:rPr>
            <w:color w:val="1F6FEB"/>
            <w:u w:val="single"/>
          </w:rPr>
          <w:t>https://www.outbackteambuilding.com/blog/corporate-wellness-and-resiliency/</w:t>
        </w:r>
      </w:hyperlink>
    </w:p>
    <w:p>
      <w:r>
        <w:rPr>
          <w:b/>
        </w:rPr>
        <w:t xml:space="preserve">PMC — Whole Health System of Care: </w:t>
      </w:r>
      <w:hyperlink r:id="rId14">
        <w:r>
          <w:rPr>
            <w:color w:val="1F6FEB"/>
            <w:u w:val="single"/>
          </w:rPr>
          <w:t>https://pmc.ncbi.nlm.nih.gov/articles/PMC8168167/</w:t>
        </w:r>
      </w:hyperlink>
    </w:p>
    <w:p>
      <w:r>
        <w:rPr>
          <w:b/>
        </w:rPr>
        <w:t xml:space="preserve">PDPC Singapore — Data protection obligations: </w:t>
      </w:r>
      <w:hyperlink r:id="rId10">
        <w:r>
          <w:rPr>
            <w:color w:val="1F6FEB"/>
            <w:u w:val="single"/>
          </w:rPr>
          <w:t>https://www.pdpc.gov.sg/overview-of-pdpa/the-legislation/personal-data-protection-act/data-protection-obligations</w:t>
        </w:r>
      </w:hyperlink>
    </w:p>
    <w:p>
      <w:r>
        <w:rPr>
          <w:b/>
        </w:rPr>
        <w:t xml:space="preserve">TAFEP — Tripartite advisory on mental well-being at workplaces: </w:t>
      </w:r>
      <w:hyperlink r:id="rId15">
        <w:r>
          <w:rPr>
            <w:color w:val="1F6FEB"/>
            <w:u w:val="single"/>
          </w:rPr>
          <w:t>https://www.tal.sg/tafep/employment-practices/mental-health</w:t>
        </w:r>
      </w:hyperlink>
    </w:p>
    <w:p>
      <w:r>
        <w:rPr>
          <w:b/>
        </w:rPr>
        <w:t xml:space="preserve">HPB — Workplace health programmes: </w:t>
      </w:r>
      <w:hyperlink r:id="rId21">
        <w:r>
          <w:rPr>
            <w:color w:val="1F6FEB"/>
            <w:u w:val="single"/>
          </w:rPr>
          <w:t>https://www.hpb.gov.sg/workplace</w:t>
        </w:r>
      </w:hyperlink>
    </w:p>
    <w:p>
      <w:r>
        <w:rPr>
          <w:b/>
        </w:rPr>
        <w:t xml:space="preserve">MOM — Sick leave eligibility and entitlement: </w:t>
      </w:r>
      <w:hyperlink r:id="rId22">
        <w:r>
          <w:rPr>
            <w:color w:val="1F6FEB"/>
            <w:u w:val="single"/>
          </w:rPr>
          <w:t>https://www.mom.gov.sg/employment-practices/leave/sick-leave/eligibility-and-entitlement</w:t>
        </w:r>
      </w:hyperlink>
    </w:p>
    <w:p>
      <w:r>
        <w:rPr>
          <w:b/>
        </w:rPr>
        <w:t xml:space="preserve">Healthier SG — What is Healthier SG?: </w:t>
      </w:r>
      <w:hyperlink r:id="rId23">
        <w:r>
          <w:rPr>
            <w:color w:val="1F6FEB"/>
            <w:u w:val="single"/>
          </w:rPr>
          <w:t>https://www.healthiersg.gov.sg/about/what-is-healthier-sg/</w:t>
        </w:r>
      </w:hyperlink>
    </w:p>
    <w:p>
      <w:r>
        <w:rPr>
          <w:b/>
        </w:rPr>
        <w:t xml:space="preserve">Tertiary Courses — official course page: </w:t>
      </w:r>
      <w:hyperlink r:id="rId24">
        <w:r>
          <w:rPr>
            <w:color w:val="1F6FEB"/>
            <w:u w:val="single"/>
          </w:rPr>
          <w:t>https://www.tertiarycourses.com.sg/wsq-empowering-employee-health-and-wellness-at-the-workplace.html</w:t>
        </w:r>
      </w:hyperlink>
    </w:p>
    <w:p>
      <w:pPr>
        <w:pStyle w:val="Heading1"/>
      </w:pPr>
      <w:r>
        <w:t>Glossary</w:t>
      </w:r>
    </w:p>
    <w:p>
      <w:pPr>
        <w:pStyle w:val="ListBullet"/>
      </w:pPr>
      <w:r>
        <w:t>EAP: Employee Assistance Programme: confidential support and referral services offered through an employer.</w:t>
      </w:r>
    </w:p>
    <w:p>
      <w:pPr>
        <w:pStyle w:val="ListBullet"/>
      </w:pPr>
      <w:r>
        <w:t>Job demands: Aspects of work requiring sustained effort and associated with physical or psychological cost.</w:t>
      </w:r>
    </w:p>
    <w:p>
      <w:pPr>
        <w:pStyle w:val="ListBullet"/>
      </w:pPr>
      <w:r>
        <w:t>Job resources: Aspects of work that help achieve goals, reduce demands or support growth and recovery.</w:t>
      </w:r>
    </w:p>
    <w:p>
      <w:pPr>
        <w:pStyle w:val="ListBullet"/>
      </w:pPr>
      <w:r>
        <w:t>Psychological safety: A shared belief that interpersonal risk-taking, speaking up and asking for help are safe.</w:t>
      </w:r>
    </w:p>
    <w:p>
      <w:pPr>
        <w:pStyle w:val="ListBullet"/>
      </w:pPr>
      <w:r>
        <w:t>Aggregate data: Information combined across people; small groups or detailed fields can still create re-identification risk.</w:t>
      </w:r>
    </w:p>
    <w:p>
      <w:pPr>
        <w:pStyle w:val="ListBullet"/>
      </w:pPr>
      <w:r>
        <w:t>Leading indicator: A condition or activity expected to influence future outcomes.</w:t>
      </w:r>
    </w:p>
    <w:p>
      <w:pPr>
        <w:pStyle w:val="ListBullet"/>
      </w:pPr>
      <w:r>
        <w:t>Lagging indicator: An outcome observed after conditions and interventions have acted.</w:t>
      </w:r>
    </w:p>
    <w:p>
      <w:pPr>
        <w:pStyle w:val="ListBullet"/>
      </w:pPr>
      <w:r>
        <w:t>Logic model: A causal map connecting inputs, activities, reach, experience and intended outcomes.</w:t>
      </w:r>
    </w:p>
    <w:sectPr w:rsidR="00FC693F" w:rsidRPr="0006063C" w:rsidSect="00034616">
      <w:footerReference w:type="default" r:id="rId25"/>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pdpc.gov.sg/overview-of-pdpa/the-legislation/personal-data-protection-act/data-protection-obligations" TargetMode="External"/><Relationship Id="rId11" Type="http://schemas.openxmlformats.org/officeDocument/2006/relationships/hyperlink" Target="https://www.gallup.com/workplace/404105/importance-of-employee-wellbeing.aspx" TargetMode="External"/><Relationship Id="rId12" Type="http://schemas.openxmlformats.org/officeDocument/2006/relationships/hyperlink" Target="https://www.ncbi.nlm.nih.gov/books/NBK201567/" TargetMode="External"/><Relationship Id="rId13" Type="http://schemas.openxmlformats.org/officeDocument/2006/relationships/hyperlink" Target="https://www.cipd.org/globalassets/media/knowledge/knowledge-hub/evidence-reviews/employee-resilience-discussion-report_tcm18-91717.pdf" TargetMode="External"/><Relationship Id="rId14" Type="http://schemas.openxmlformats.org/officeDocument/2006/relationships/hyperlink" Target="https://pmc.ncbi.nlm.nih.gov/articles/PMC8168167/" TargetMode="External"/><Relationship Id="rId15" Type="http://schemas.openxmlformats.org/officeDocument/2006/relationships/hyperlink" Target="https://www.tal.sg/tafep/employment-practices/mental-health" TargetMode="External"/><Relationship Id="rId16" Type="http://schemas.openxmlformats.org/officeDocument/2006/relationships/hyperlink" Target="https://workplacementalhealth.org/mental-health-topics/resilience" TargetMode="External"/><Relationship Id="rId17" Type="http://schemas.openxmlformats.org/officeDocument/2006/relationships/hyperlink" Target="https://www.mckinsey.com/featured-insights/mckinsey-guide-to-navigating-the-new-world-of-work/thriving-at-work-building-resilience-wellness-and-motivation" TargetMode="External"/><Relationship Id="rId18" Type="http://schemas.openxmlformats.org/officeDocument/2006/relationships/hyperlink" Target="https://wtalentsolutions.com/wellness-in-the-workplace/" TargetMode="External"/><Relationship Id="rId19" Type="http://schemas.openxmlformats.org/officeDocument/2006/relationships/hyperlink" Target="https://pmc.ncbi.nlm.nih.gov/articles/PMC13206323/" TargetMode="External"/><Relationship Id="rId20" Type="http://schemas.openxmlformats.org/officeDocument/2006/relationships/hyperlink" Target="https://www.outbackteambuilding.com/blog/corporate-wellness-and-resiliency/" TargetMode="External"/><Relationship Id="rId21" Type="http://schemas.openxmlformats.org/officeDocument/2006/relationships/hyperlink" Target="https://www.hpb.gov.sg/workplace" TargetMode="External"/><Relationship Id="rId22" Type="http://schemas.openxmlformats.org/officeDocument/2006/relationships/hyperlink" Target="https://www.mom.gov.sg/employment-practices/leave/sick-leave/eligibility-and-entitlement" TargetMode="External"/><Relationship Id="rId23" Type="http://schemas.openxmlformats.org/officeDocument/2006/relationships/hyperlink" Target="https://www.healthiersg.gov.sg/about/what-is-healthier-sg/" TargetMode="External"/><Relationship Id="rId24" Type="http://schemas.openxmlformats.org/officeDocument/2006/relationships/hyperlink" Target="https://www.tertiarycourses.com.sg/wsq-empowering-employee-health-and-wellness-at-the-workplace.html"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