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Empowering Employee Health and Wellness at the Workplace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TGS-2024045222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16 August 2026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Rebuilt source-aligned workplace health and wellness courseware with ten real-use-case activity packs and detailed learner procedures.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WSQ course develops the ability to research workplace wellbeing, identify employee needs, implement inclusive programmes, communicate benefits and improve effectiveness using safe evidence. Ten real-use-case activities connect concepts to workplace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Course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TGS-2024045222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TSC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HRS-HRM-3019-1.1 — Health and Wellness Programme Management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2 days · 16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14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Assessment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WA 1 hour + Case Study 1 hour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Daily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9:00am–6:00pm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workplace health and wellness trends, technologies and research implications for employees and the organisation.</w:t>
      </w:r>
    </w:p>
    <w:p>
      <w:pPr>
        <w:pStyle w:val="ListBullet"/>
      </w:pPr>
      <w:r>
        <w:t>LO2: Implement inclusive health and wellness programmes for different employee groups and translate policies into day-to-day practices.</w:t>
      </w:r>
    </w:p>
    <w:p>
      <w:pPr>
        <w:pStyle w:val="ListBullet"/>
      </w:pPr>
      <w:r>
        <w:t>LO3: Communicate programme benefits through appropriate channels and assess effectiveness using employee feedback and programme evidence.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Evidence, Needs and Programme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09:00–09:30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Administration, outcomes and assessment briefing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09:30–10:45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health, wellness, evidence and requirements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20–56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10:45–10:55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Morning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10:55–12:20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85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1–2 — privacy and workforce needs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A1: 43, A2: 47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12:20–13:20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13:20–14:50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factors, trends, technology and research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20–56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14:50–15:00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Afternoon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15:00–17:10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3–5 — technology, resilience and programme portfolio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A3: 52, A4: 78, A5: 82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17:10–18:00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50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Day 1 synthesis and evidence review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pPr>
        <w:pStyle w:val="Heading2"/>
      </w:pPr>
      <w:r>
        <w:t>Day 2 — Implementation, Communication and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09:00–09:15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Day 1 retrieval practice and readiness check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09:15–10:25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— programme design and implementation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57–96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10:25–10:35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Morning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10:35–11:50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6–7 — policy-to-practice and participation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A6: 87, A7: 91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11:50–12:50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12:50–14:00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3 — communication, feedback and evaluation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97–141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14:00–14:10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Afternoon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14:10–15:00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50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8–9 — campaign and feedback system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A8: 118, A9: 122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15:00–16:00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Activity 10 — management review and integrated improvement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16:00–17:00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Written Assessment (WA-SAQ)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17:00–18:00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Case Study (CS)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pPr>
        <w:pStyle w:val="Heading1"/>
      </w:pPr>
      <w:r>
        <w:t>Topic and Activity Breakdown</w:t>
      </w:r>
    </w:p>
    <w:p>
      <w:pPr>
        <w:pStyle w:val="Heading2"/>
      </w:pPr>
      <w:r>
        <w:t>Topic 1 — Workplace Health, Wellness and Evidence · Slides 20–56</w:t>
      </w:r>
    </w:p>
    <w:p>
      <w:r>
        <w:t>Mapping: K1 · K2 · K3 · A1 · A2. wellbeing dimensions · Singapore requirements · needs · trends · technology · evidence.</w:t>
      </w:r>
    </w:p>
    <w:p>
      <w:pPr>
        <w:pStyle w:val="Heading3"/>
      </w:pPr>
      <w:r>
        <w:t>Activity 1 — Privacy-Safe Wearable Wellness Pilot · Slide 43</w:t>
      </w:r>
    </w:p>
    <w:p>
      <w:r>
        <w:t>Assess whether a voluntary wearable pilot can address a defined employee need without creating surveillance, exclusion or unsafe data use.</w:t>
      </w:r>
    </w:p>
    <w:p>
      <w:pPr>
        <w:pStyle w:val="ListBullet"/>
      </w:pPr>
      <w:r>
        <w:t>Output: One-page pilot decision, annotated data-flow map and privacy/equity risk register</w:t>
      </w:r>
    </w:p>
    <w:p>
      <w:pPr>
        <w:pStyle w:val="ListBullet"/>
      </w:pPr>
      <w:r>
        <w:t>Acceptance: The submission defines a necessary purpose, minimises fields, removes manager access to individual data, offers a genuine alternative, specifies reporting thresholds and assigns every residual risk to an owner and gate.</w:t>
      </w:r>
    </w:p>
    <w:p>
      <w:pPr>
        <w:pStyle w:val="Heading3"/>
      </w:pPr>
      <w:r>
        <w:t>Activity 2 — Segmented Workforce Wellbeing Needs Assessment · Slide 47</w:t>
      </w:r>
    </w:p>
    <w:p>
      <w:r>
        <w:t>Combine workforce voice and operational signals to prioritise needs without diagnosing employees or exposing small groups.</w:t>
      </w:r>
    </w:p>
    <w:p>
      <w:pPr>
        <w:pStyle w:val="ListBullet"/>
      </w:pPr>
      <w:r>
        <w:t>Output: Needs-assessment matrix and a two-priority management brief</w:t>
      </w:r>
    </w:p>
    <w:p>
      <w:pPr>
        <w:pStyle w:val="ListBullet"/>
      </w:pPr>
      <w:r>
        <w:t>Acceptance: Every priority uses at least two evidence signals, small groups are suppressed, uncertainty is explicit, no condition is diagnosed, and recommended action addresses a workplace factor plus an access need.</w:t>
      </w:r>
    </w:p>
    <w:p>
      <w:pPr>
        <w:pStyle w:val="Heading3"/>
      </w:pPr>
      <w:r>
        <w:t>Activity 3 — Evidence and Technology Selection Board · Slide 52</w:t>
      </w:r>
    </w:p>
    <w:p>
      <w:r>
        <w:t>Compare wearables, telehealth, wellbeing apps, gamification and AI coaching against evidence, need, safety, inclusion and implementation fit.</w:t>
      </w:r>
    </w:p>
    <w:p>
      <w:pPr>
        <w:pStyle w:val="ListBullet"/>
      </w:pPr>
      <w:r>
        <w:t>Output: Source appraisal ledger, weighted option board and pilot hypothesis</w:t>
      </w:r>
    </w:p>
    <w:p>
      <w:pPr>
        <w:pStyle w:val="ListBullet"/>
      </w:pPr>
      <w:r>
        <w:t>Acceptance: The recommendation distinguishes research from vendor claims, maps each option to a defined need, includes privacy and accessibility gates, tests weight sensitivity and states scale/adapt/stop criteria.</w:t>
      </w:r>
    </w:p>
    <w:p>
      <w:pPr>
        <w:pStyle w:val="Heading2"/>
      </w:pPr>
      <w:r>
        <w:t>Topic 2 — Programme Design and Implementation · Slides 57–96</w:t>
      </w:r>
    </w:p>
    <w:p>
      <w:r>
        <w:t>Mapping: K4 · K5 · A3 · A4. programme portfolio · inclusion · policy-to-practice · resilience · participation · governance.</w:t>
      </w:r>
    </w:p>
    <w:p>
      <w:pPr>
        <w:pStyle w:val="Heading3"/>
      </w:pPr>
      <w:r>
        <w:t>Activity 4 — Resilience Ecosystem After a Service Surge · Slide 78</w:t>
      </w:r>
    </w:p>
    <w:p>
      <w:r>
        <w:t>Respond to fatigue and strain in a high-demand team without shifting responsibility onto employees to become tougher.</w:t>
      </w:r>
    </w:p>
    <w:p>
      <w:pPr>
        <w:pStyle w:val="ListBullet"/>
      </w:pPr>
      <w:r>
        <w:t>Output: Resilience ecosystem map and a 90-day multi-level implementation plan</w:t>
      </w:r>
    </w:p>
    <w:p>
      <w:pPr>
        <w:pStyle w:val="ListBullet"/>
      </w:pPr>
      <w:r>
        <w:t>Acceptance: The plan removes or reduces at least two preventable demands, adds team and organisational resources, treats individual training as complementary, includes safe escalation and has balanced employee/service measures.</w:t>
      </w:r>
    </w:p>
    <w:p>
      <w:pPr>
        <w:pStyle w:val="Heading3"/>
      </w:pPr>
      <w:r>
        <w:t>Activity 5 — Whole-Person Wellness Programme Portfolio · Slide 82</w:t>
      </w:r>
    </w:p>
    <w:p>
      <w:r>
        <w:t>Convert a broad wellness ambition into a coherent prevention-to-recovery portfolio with access, ownership and evidence.</w:t>
      </w:r>
    </w:p>
    <w:p>
      <w:pPr>
        <w:pStyle w:val="ListBullet"/>
      </w:pPr>
      <w:r>
        <w:t>Output: Whole-person programme architecture with component logic models and priorities</w:t>
      </w:r>
    </w:p>
    <w:p>
      <w:pPr>
        <w:pStyle w:val="ListBullet"/>
      </w:pPr>
      <w:r>
        <w:t>Acceptance: Every component links to an evidenced need, the portfolio covers work conditions plus support, access is designed for distinct groups, clinical/privacy boundaries are explicit and each component has an owner and review measure.</w:t>
      </w:r>
    </w:p>
    <w:p>
      <w:pPr>
        <w:pStyle w:val="Heading3"/>
      </w:pPr>
      <w:r>
        <w:t>Activity 6 — Mental-Wellbeing Policy-to-Practice Playbook · Slide 87</w:t>
      </w:r>
    </w:p>
    <w:p>
      <w:r>
        <w:t>Turn a generic mental-wellbeing policy into observable routines, decision rights, scripts and escalation paths.</w:t>
      </w:r>
    </w:p>
    <w:p>
      <w:pPr>
        <w:pStyle w:val="ListBullet"/>
      </w:pPr>
      <w:r>
        <w:t>Output: Policy-to-practice manager playbook and implementation evidence plan</w:t>
      </w:r>
    </w:p>
    <w:p>
      <w:pPr>
        <w:pStyle w:val="ListBullet"/>
      </w:pPr>
      <w:r>
        <w:t>Acceptance: The playbook covers routine through emergency situations, limits collection and diagnosis, names decision rights and handoffs, provides usable scripts and defines evidence of practice quality rather than training completion alone.</w:t>
      </w:r>
    </w:p>
    <w:p>
      <w:pPr>
        <w:pStyle w:val="Heading3"/>
      </w:pPr>
      <w:r>
        <w:t>Activity 7 — Participation and Partnership Recovery Plan · Slide 91</w:t>
      </w:r>
    </w:p>
    <w:p>
      <w:r>
        <w:t>Diagnose low engagement in an existing programme and redesign access, communication, incentives and vendor governance.</w:t>
      </w:r>
    </w:p>
    <w:p>
      <w:pPr>
        <w:pStyle w:val="ListBullet"/>
      </w:pPr>
      <w:r>
        <w:t>Output: Participation recovery plan, vendor scorecard and budget-backed experiment</w:t>
      </w:r>
    </w:p>
    <w:p>
      <w:pPr>
        <w:pStyle w:val="ListBullet"/>
      </w:pPr>
      <w:r>
        <w:t>Acceptance: The plan diagnoses funnel loss by group, addresses at least three root-cause categories, avoids coercive incentives, sets vendor quality/privacy standards and defines a measurable experiment with owner and stop rule.</w:t>
      </w:r>
    </w:p>
    <w:p>
      <w:pPr>
        <w:pStyle w:val="Heading2"/>
      </w:pPr>
      <w:r>
        <w:t>Topic 3 — Communication, Feedback and Improvement · Slides 97–141</w:t>
      </w:r>
    </w:p>
    <w:p>
      <w:r>
        <w:t>Mapping: K6 · K7 · A5 · A6. benefits · audience · channels · trust · feedback · metrics · management review.</w:t>
      </w:r>
    </w:p>
    <w:p>
      <w:pPr>
        <w:pStyle w:val="Heading3"/>
      </w:pPr>
      <w:r>
        <w:t>Activity 8 — Inclusive Multi-Channel Wellbeing Campaign · Slide 118</w:t>
      </w:r>
    </w:p>
    <w:p>
      <w:r>
        <w:t>Design a trust-centred campaign that reaches office, frontline and mobile employees without overclaiming outcomes.</w:t>
      </w:r>
    </w:p>
    <w:p>
      <w:pPr>
        <w:pStyle w:val="ListBullet"/>
      </w:pPr>
      <w:r>
        <w:t>Output: Audience-message-channel matrix and six-week campaign plan</w:t>
      </w:r>
    </w:p>
    <w:p>
      <w:pPr>
        <w:pStyle w:val="ListBullet"/>
      </w:pPr>
      <w:r>
        <w:t>Acceptance: Every priority audience has a defined action, credible benefit, trusted messenger and accessible channel; privacy is accurate; overclaiming is absent; and measures cover reach, comprehension, trust, action and equity.</w:t>
      </w:r>
    </w:p>
    <w:p>
      <w:pPr>
        <w:pStyle w:val="Heading3"/>
      </w:pPr>
      <w:r>
        <w:t>Activity 9 — Employee Feedback and Listening System · Slide 122</w:t>
      </w:r>
    </w:p>
    <w:p>
      <w:r>
        <w:t>Design a feedback system that combines surveys, focus groups, interviews and programme data while protecting identity and closing the loop.</w:t>
      </w:r>
    </w:p>
    <w:p>
      <w:pPr>
        <w:pStyle w:val="ListBullet"/>
      </w:pPr>
      <w:r>
        <w:t>Output: Multi-method listening plan, draft instruments and close-the-loop protocol</w:t>
      </w:r>
    </w:p>
    <w:p>
      <w:pPr>
        <w:pStyle w:val="ListBullet"/>
      </w:pPr>
      <w:r>
        <w:t>Acceptance: The system collects only decision-relevant data, uses complementary methods, protects small groups and free text, accurately distinguishes anonymity/confidentiality, includes safety escalation and commits to visible response timelines.</w:t>
      </w:r>
    </w:p>
    <w:p>
      <w:pPr>
        <w:pStyle w:val="Heading3"/>
      </w:pPr>
      <w:r>
        <w:t>Activity 10 — Wellbeing Programme Management Review · Slide 126</w:t>
      </w:r>
    </w:p>
    <w:p>
      <w:r>
        <w:t>Turn reach, experience, work-condition, outcome and cost evidence into a decision-ready management review.</w:t>
      </w:r>
    </w:p>
    <w:p>
      <w:pPr>
        <w:pStyle w:val="ListBullet"/>
      </w:pPr>
      <w:r>
        <w:t>Output: Balanced programme dashboard and management decision paper</w:t>
      </w:r>
    </w:p>
    <w:p>
      <w:pPr>
        <w:pStyle w:val="ListBullet"/>
      </w:pPr>
      <w:r>
        <w:t>Acceptance: The review validates data, follows the logic model, separates implementation from outcome, analyses equity, names confounders, avoids causal overclaiming and gives component-level decisions with owners and review triggers.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slide deck and Learner Guide</w:t>
      </w:r>
    </w:p>
    <w:p>
      <w:pPr>
        <w:pStyle w:val="ListBullet"/>
      </w:pPr>
      <w:r>
        <w:t>Ten individual activity folders with scenario PDF, mock data, questionnaire and checklist</w:t>
      </w:r>
    </w:p>
    <w:p>
      <w:pPr>
        <w:pStyle w:val="ListBullet"/>
      </w:pPr>
      <w:r>
        <w:t>Spreadsheet software for mock-data analysis</w:t>
      </w:r>
    </w:p>
    <w:p>
      <w:pPr>
        <w:pStyle w:val="ListBullet"/>
      </w:pPr>
      <w:r>
        <w:t>Internet access for cited public sources</w:t>
      </w:r>
    </w:p>
    <w:p>
      <w:pPr>
        <w:pStyle w:val="ListBullet"/>
      </w:pPr>
      <w:r>
        <w:t>LMS access for courseware and assessment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7 open-ended questions covering K1–K7, 1 hour, open book.</w:t>
      </w:r>
    </w:p>
    <w:p>
      <w:pPr>
        <w:pStyle w:val="ListBullet"/>
      </w:pPr>
      <w:r>
        <w:t>Case Study (CS) — 3 integrated questions covering A1–A6, 1 hour, open book.</w:t>
      </w:r>
    </w:p>
    <w:p>
      <w:pPr>
        <w:pStyle w:val="ListBullet"/>
      </w:pPr>
      <w:r>
        <w:t>Instrument type, question count, mapping and timing follow the retrieved approved Assessment Plan and legacy v2 papers.</w:t>
      </w:r>
    </w:p>
    <w:p>
      <w:pPr>
        <w:pStyle w:val="ListBullet"/>
      </w:pPr>
      <w:r>
        <w:t>Assessment block: Day 2, 4:00pm–6:00pm.</w:t>
      </w:r>
    </w:p>
    <w:p>
      <w:pPr>
        <w:pStyle w:val="ListBullet"/>
      </w:pPr>
      <w:r>
        <w:t>Order: SSG attendance → WA → CS → LMS submission →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