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ASSESSMENT PLAN</w:t>
      </w:r>
    </w:p>
    <w:p>
      <w:pPr>
        <w:pStyle w:val="Heading1"/>
      </w:pPr>
      <w:r>
        <w:t>Microsoft Copilot for HR</w:t>
      </w:r>
    </w:p>
    <w:p>
      <w:r>
        <w:t>Course Code: TGS-2024045795  |  2 days / 16 hours  |  Human Resource Digitalisation-4 (HRS-HRM-4031-1.1)</w:t>
      </w:r>
    </w:p>
    <w:p>
      <w:r>
        <w:t>Tertiary Infotech Academy Pte Ltd  |  UEN 201200696W</w:t>
      </w:r>
    </w:p>
    <w:p>
      <w:r>
        <w:t>Version 4.1  |  27 September 2026</w:t>
      </w:r>
    </w:p>
    <w:p>
      <w:r>
        <w:t>This document contains assessment administration and evidence requirements only. Candidate question papers and confidential answer keys are controlled separately.</w:t>
      </w:r>
    </w:p>
    <w:p>
      <w:pPr>
        <w:pStyle w:val="Heading1"/>
      </w:pPr>
      <w:r>
        <w:t>Assessment purpose and scope</w:t>
      </w:r>
    </w:p>
    <w:p>
      <w:r>
        <w:t>Assess the candidate's knowledge and applied ability for Human Resource Digitalisation-4 (HRS-HRM-4031-1.1) using the current Microsoft Copilot for HR course outcomes. The assessment uses one Written Assessment (WA-SAQ) and one Case Study (CS); no Practical Performance paper is selected for this release.</w:t>
      </w:r>
    </w:p>
    <w:p>
      <w:pPr>
        <w:pStyle w:val="Heading1"/>
      </w:pPr>
      <w:r>
        <w:t>Assessment methods and conditions</w:t>
      </w:r>
    </w:p>
    <w:tbl>
      <w:tblPr>
        <w:tblStyle w:val="LightShading-Accent1"/>
        <w:tblW w:type="auto" w:w="0"/>
        <w:jc w:val="center"/>
        <w:tblLook w:firstColumn="1" w:firstRow="1" w:lastColumn="0" w:lastRow="0" w:noHBand="0" w:noVBand="1" w:val="04A0"/>
      </w:tblPr>
      <w:tblGrid>
        <w:gridCol w:w="2469"/>
        <w:gridCol w:w="2469"/>
        <w:gridCol w:w="2469"/>
        <w:gridCol w:w="2469"/>
      </w:tblGrid>
      <w:tr>
        <w:trPr>
          <w:cantSplit/>
        </w:trPr>
        <w:tc>
          <w:tcPr>
            <w:tcW w:type="dxa" w:w="2469"/>
          </w:tcPr>
          <w:p>
            <w:r>
              <w:t>Instrument</w:t>
            </w:r>
          </w:p>
        </w:tc>
        <w:tc>
          <w:tcPr>
            <w:tcW w:type="dxa" w:w="2469"/>
          </w:tcPr>
          <w:p>
            <w:r>
              <w:t>Duration</w:t>
            </w:r>
          </w:p>
        </w:tc>
        <w:tc>
          <w:tcPr>
            <w:tcW w:type="dxa" w:w="2469"/>
          </w:tcPr>
          <w:p>
            <w:r>
              <w:t>Evidence</w:t>
            </w:r>
          </w:p>
        </w:tc>
        <w:tc>
          <w:tcPr>
            <w:tcW w:type="dxa" w:w="2469"/>
          </w:tcPr>
          <w:p>
            <w:r>
              <w:t>Decision</w:t>
            </w:r>
          </w:p>
        </w:tc>
      </w:tr>
      <w:tr>
        <w:trPr>
          <w:cantSplit/>
        </w:trPr>
        <w:tc>
          <w:tcPr>
            <w:tcW w:type="dxa" w:w="2469"/>
          </w:tcPr>
          <w:p>
            <w:r>
              <w:t>WA-SAQ v3.2</w:t>
            </w:r>
          </w:p>
        </w:tc>
        <w:tc>
          <w:tcPr>
            <w:tcW w:type="dxa" w:w="2469"/>
          </w:tcPr>
          <w:p>
            <w:r>
              <w:t>60 minutes</w:t>
            </w:r>
          </w:p>
        </w:tc>
        <w:tc>
          <w:tcPr>
            <w:tcW w:type="dxa" w:w="2469"/>
          </w:tcPr>
          <w:p>
            <w:r>
              <w:t>Five individual open-response items, K1–K5; 20 marks each</w:t>
            </w:r>
          </w:p>
        </w:tc>
        <w:tc>
          <w:tcPr>
            <w:tcW w:type="dxa" w:w="2469"/>
          </w:tcPr>
          <w:p>
            <w:r>
              <w:t>Apply the controlled assessor rubric to each knowledge item</w:t>
            </w:r>
          </w:p>
        </w:tc>
      </w:tr>
      <w:tr>
        <w:trPr>
          <w:cantSplit/>
        </w:trPr>
        <w:tc>
          <w:tcPr>
            <w:tcW w:type="dxa" w:w="2469"/>
          </w:tcPr>
          <w:p>
            <w:r>
              <w:t>Case Study v3.2</w:t>
            </w:r>
          </w:p>
        </w:tc>
        <w:tc>
          <w:tcPr>
            <w:tcW w:type="dxa" w:w="2469"/>
          </w:tcPr>
          <w:p>
            <w:r>
              <w:t>60 minutes</w:t>
            </w:r>
          </w:p>
        </w:tc>
        <w:tc>
          <w:tcPr>
            <w:tcW w:type="dxa" w:w="2469"/>
          </w:tcPr>
          <w:p>
            <w:r>
              <w:t>HarbourLight Logistics scenario and five individual open-response items, A1–A5; 20 marks each</w:t>
            </w:r>
          </w:p>
        </w:tc>
        <w:tc>
          <w:tcPr>
            <w:tcW w:type="dxa" w:w="2469"/>
          </w:tcPr>
          <w:p>
            <w:r>
              <w:t>Apply the controlled assessor rubric to the scenario evidence</w:t>
            </w:r>
          </w:p>
        </w:tc>
      </w:tr>
    </w:tbl>
    <w:p/>
    <w:p>
      <w:r>
        <w:t>Both papers are individual, open-book assessments. Candidate identity, permitted materials, submission method, conduct rules and C/NYC outcome language are stated on the papers. The assessor records sufficiency against every required item; a total score alone does not replace the competency decision.</w:t>
      </w:r>
    </w:p>
    <w:p>
      <w:r>
        <w:br w:type="page"/>
      </w:r>
    </w:p>
    <w:p>
      <w:pPr>
        <w:pStyle w:val="Heading1"/>
      </w:pPr>
      <w:r>
        <w:t>Evidence map</w:t>
      </w:r>
    </w:p>
    <w:tbl>
      <w:tblPr>
        <w:tblStyle w:val="LightShading-Accent1"/>
        <w:tblW w:type="auto" w:w="0"/>
        <w:jc w:val="center"/>
        <w:tblLook w:firstColumn="1" w:firstRow="1" w:lastColumn="0" w:lastRow="0" w:noHBand="0" w:noVBand="1" w:val="04A0"/>
      </w:tblPr>
      <w:tblGrid>
        <w:gridCol w:w="3293"/>
        <w:gridCol w:w="3293"/>
        <w:gridCol w:w="3293"/>
      </w:tblGrid>
      <w:tr>
        <w:trPr>
          <w:cantSplit/>
        </w:trPr>
        <w:tc>
          <w:tcPr>
            <w:tcW w:type="dxa" w:w="3293"/>
          </w:tcPr>
          <w:p>
            <w:r>
              <w:t>Item</w:t>
            </w:r>
          </w:p>
        </w:tc>
        <w:tc>
          <w:tcPr>
            <w:tcW w:type="dxa" w:w="3293"/>
          </w:tcPr>
          <w:p>
            <w:r>
              <w:t>Evidence requested</w:t>
            </w:r>
          </w:p>
        </w:tc>
        <w:tc>
          <w:tcPr>
            <w:tcW w:type="dxa" w:w="3293"/>
          </w:tcPr>
          <w:p>
            <w:r>
              <w:t>Course outcome</w:t>
            </w:r>
          </w:p>
        </w:tc>
      </w:tr>
      <w:tr>
        <w:trPr>
          <w:cantSplit/>
        </w:trPr>
        <w:tc>
          <w:tcPr>
            <w:tcW w:type="dxa" w:w="3293"/>
          </w:tcPr>
          <w:p>
            <w:r>
              <w:t>K1</w:t>
            </w:r>
          </w:p>
        </w:tc>
        <w:tc>
          <w:tcPr>
            <w:tcW w:type="dxa" w:w="3293"/>
          </w:tcPr>
          <w:p>
            <w:r>
              <w:t>Compare automation, Microsoft 365 Copilot and agents with HR examples and human roles</w:t>
            </w:r>
          </w:p>
        </w:tc>
        <w:tc>
          <w:tcPr>
            <w:tcW w:type="dxa" w:w="3293"/>
          </w:tcPr>
          <w:p>
            <w:r>
              <w:t>LO1</w:t>
            </w:r>
          </w:p>
        </w:tc>
      </w:tr>
      <w:tr>
        <w:trPr>
          <w:cantSplit/>
        </w:trPr>
        <w:tc>
          <w:tcPr>
            <w:tcW w:type="dxa" w:w="3293"/>
          </w:tcPr>
          <w:p>
            <w:r>
              <w:t>K2</w:t>
            </w:r>
          </w:p>
        </w:tc>
        <w:tc>
          <w:tcPr>
            <w:tcW w:type="dxa" w:w="3293"/>
          </w:tcPr>
          <w:p>
            <w:r>
              <w:t>Explain lifecycle use cases and verification before use</w:t>
            </w:r>
          </w:p>
        </w:tc>
        <w:tc>
          <w:tcPr>
            <w:tcW w:type="dxa" w:w="3293"/>
          </w:tcPr>
          <w:p>
            <w:r>
              <w:t>LO2</w:t>
            </w:r>
          </w:p>
        </w:tc>
      </w:tr>
      <w:tr>
        <w:trPr>
          <w:cantSplit/>
        </w:trPr>
        <w:tc>
          <w:tcPr>
            <w:tcW w:type="dxa" w:w="3293"/>
          </w:tcPr>
          <w:p>
            <w:r>
              <w:t>K3</w:t>
            </w:r>
          </w:p>
        </w:tc>
        <w:tc>
          <w:tcPr>
            <w:tcW w:type="dxa" w:w="3293"/>
          </w:tcPr>
          <w:p>
            <w:r>
              <w:t>Explain purpose, knowledge, instructions, tools, boundaries and tests</w:t>
            </w:r>
          </w:p>
        </w:tc>
        <w:tc>
          <w:tcPr>
            <w:tcW w:type="dxa" w:w="3293"/>
          </w:tcPr>
          <w:p>
            <w:r>
              <w:t>LO2, LO3</w:t>
            </w:r>
          </w:p>
        </w:tc>
      </w:tr>
      <w:tr>
        <w:trPr>
          <w:cantSplit/>
        </w:trPr>
        <w:tc>
          <w:tcPr>
            <w:tcW w:type="dxa" w:w="3293"/>
          </w:tcPr>
          <w:p>
            <w:r>
              <w:t>K4</w:t>
            </w:r>
          </w:p>
        </w:tc>
        <w:tc>
          <w:tcPr>
            <w:tcW w:type="dxa" w:w="3293"/>
          </w:tcPr>
          <w:p>
            <w:r>
              <w:t>Explain responsible-AI controls and the risks they reduce</w:t>
            </w:r>
          </w:p>
        </w:tc>
        <w:tc>
          <w:tcPr>
            <w:tcW w:type="dxa" w:w="3293"/>
          </w:tcPr>
          <w:p>
            <w:r>
              <w:t>LO4</w:t>
            </w:r>
          </w:p>
        </w:tc>
      </w:tr>
      <w:tr>
        <w:trPr>
          <w:cantSplit/>
        </w:trPr>
        <w:tc>
          <w:tcPr>
            <w:tcW w:type="dxa" w:w="3293"/>
          </w:tcPr>
          <w:p>
            <w:r>
              <w:t>K5</w:t>
            </w:r>
          </w:p>
        </w:tc>
        <w:tc>
          <w:tcPr>
            <w:tcW w:type="dxa" w:w="3293"/>
          </w:tcPr>
          <w:p>
            <w:r>
              <w:t>Outline a 90-day pilot with baseline, measures, ownership and scale/stop gate</w:t>
            </w:r>
          </w:p>
        </w:tc>
        <w:tc>
          <w:tcPr>
            <w:tcW w:type="dxa" w:w="3293"/>
          </w:tcPr>
          <w:p>
            <w:r>
              <w:t>LO3, LO4</w:t>
            </w:r>
          </w:p>
        </w:tc>
      </w:tr>
      <w:tr>
        <w:trPr>
          <w:cantSplit/>
        </w:trPr>
        <w:tc>
          <w:tcPr>
            <w:tcW w:type="dxa" w:w="3293"/>
          </w:tcPr>
          <w:p>
            <w:r>
              <w:t>A1</w:t>
            </w:r>
          </w:p>
        </w:tc>
        <w:tc>
          <w:tcPr>
            <w:tcW w:type="dxa" w:w="3293"/>
          </w:tcPr>
          <w:p>
            <w:r>
              <w:t>Select proportionate capability types for scenario HR work</w:t>
            </w:r>
          </w:p>
        </w:tc>
        <w:tc>
          <w:tcPr>
            <w:tcW w:type="dxa" w:w="3293"/>
          </w:tcPr>
          <w:p>
            <w:r>
              <w:t>LO1, LO2</w:t>
            </w:r>
          </w:p>
        </w:tc>
      </w:tr>
      <w:tr>
        <w:trPr>
          <w:cantSplit/>
        </w:trPr>
        <w:tc>
          <w:tcPr>
            <w:tcW w:type="dxa" w:w="3293"/>
          </w:tcPr>
          <w:p>
            <w:r>
              <w:t>A2</w:t>
            </w:r>
          </w:p>
        </w:tc>
        <w:tc>
          <w:tcPr>
            <w:tcW w:type="dxa" w:w="3293"/>
          </w:tcPr>
          <w:p>
            <w:r>
              <w:t>Design a fair and reviewable screening workflow</w:t>
            </w:r>
          </w:p>
        </w:tc>
        <w:tc>
          <w:tcPr>
            <w:tcW w:type="dxa" w:w="3293"/>
          </w:tcPr>
          <w:p>
            <w:r>
              <w:t>LO2, LO4</w:t>
            </w:r>
          </w:p>
        </w:tc>
      </w:tr>
      <w:tr>
        <w:trPr>
          <w:cantSplit/>
        </w:trPr>
        <w:tc>
          <w:tcPr>
            <w:tcW w:type="dxa" w:w="3293"/>
          </w:tcPr>
          <w:p>
            <w:r>
              <w:t>A3</w:t>
            </w:r>
          </w:p>
        </w:tc>
        <w:tc>
          <w:tcPr>
            <w:tcW w:type="dxa" w:w="3293"/>
          </w:tcPr>
          <w:p>
            <w:r>
              <w:t>Design a controlled leave agent with validation, approval and audit</w:t>
            </w:r>
          </w:p>
        </w:tc>
        <w:tc>
          <w:tcPr>
            <w:tcW w:type="dxa" w:w="3293"/>
          </w:tcPr>
          <w:p>
            <w:r>
              <w:t>LO2, LO3, LO4</w:t>
            </w:r>
          </w:p>
        </w:tc>
      </w:tr>
      <w:tr>
        <w:trPr>
          <w:cantSplit/>
        </w:trPr>
        <w:tc>
          <w:tcPr>
            <w:tcW w:type="dxa" w:w="3293"/>
          </w:tcPr>
          <w:p>
            <w:r>
              <w:t>A4</w:t>
            </w:r>
          </w:p>
        </w:tc>
        <w:tc>
          <w:tcPr>
            <w:tcW w:type="dxa" w:w="3293"/>
          </w:tcPr>
          <w:p>
            <w:r>
              <w:t>Contain and remediate obsolete policy citations</w:t>
            </w:r>
          </w:p>
        </w:tc>
        <w:tc>
          <w:tcPr>
            <w:tcW w:type="dxa" w:w="3293"/>
          </w:tcPr>
          <w:p>
            <w:r>
              <w:t>LO3, LO4</w:t>
            </w:r>
          </w:p>
        </w:tc>
      </w:tr>
      <w:tr>
        <w:trPr>
          <w:cantSplit/>
        </w:trPr>
        <w:tc>
          <w:tcPr>
            <w:tcW w:type="dxa" w:w="3293"/>
          </w:tcPr>
          <w:p>
            <w:r>
              <w:t>A5</w:t>
            </w:r>
          </w:p>
        </w:tc>
        <w:tc>
          <w:tcPr>
            <w:tcW w:type="dxa" w:w="3293"/>
          </w:tcPr>
          <w:p>
            <w:r>
              <w:t>Recommend scale, remediation, pause or retirement using balanced measures</w:t>
            </w:r>
          </w:p>
        </w:tc>
        <w:tc>
          <w:tcPr>
            <w:tcW w:type="dxa" w:w="3293"/>
          </w:tcPr>
          <w:p>
            <w:r>
              <w:t>LO3, LO4</w:t>
            </w:r>
          </w:p>
        </w:tc>
      </w:tr>
    </w:tbl>
    <w:p/>
    <w:p>
      <w:pPr>
        <w:pStyle w:val="Heading1"/>
      </w:pPr>
      <w:r>
        <w:t>Competency decision and quality controls</w:t>
      </w:r>
    </w:p>
    <w:p>
      <w:pPr>
        <w:pStyle w:val="ListBullet"/>
      </w:pPr>
      <w:r>
        <w:t>Use the separately controlled marking rubric and suggested answers available only to authorised assessors. This plan contains no model responses or answer keys.</w:t>
      </w:r>
    </w:p>
    <w:p>
      <w:pPr>
        <w:pStyle w:val="ListBullet"/>
      </w:pPr>
      <w:r>
        <w:t>Check evidence for validity, authenticity, sufficiency and currency. Record a reason when evidence is insufficient, contradictory or copied without application to the scenario.</w:t>
      </w:r>
    </w:p>
    <w:p>
      <w:pPr>
        <w:pStyle w:val="ListBullet"/>
      </w:pPr>
      <w:r>
        <w:t>Make the C/NYC decision using evidence across K1–K5 and A1–A5. Complete candidate and assessor records, provide feedback, and follow the approved re-assessment and appeal process where required.</w:t>
      </w:r>
    </w:p>
    <w:p>
      <w:pPr>
        <w:pStyle w:val="ListBullet"/>
      </w:pPr>
      <w:r>
        <w:t>Handle personal data and submissions through the approved TMS and assessment-record locations; restrict access by role and retain records under the ATO policy.</w:t>
      </w:r>
    </w:p>
    <w:p>
      <w:pPr>
        <w:pStyle w:val="Heading1"/>
      </w:pPr>
      <w:r>
        <w:t>Assessment administration sequence</w:t>
      </w:r>
    </w:p>
    <w:tbl>
      <w:tblPr>
        <w:tblStyle w:val="LightShading-Accent1"/>
        <w:tblW w:type="auto" w:w="0"/>
        <w:jc w:val="center"/>
        <w:tblLook w:firstColumn="1" w:firstRow="1" w:lastColumn="0" w:lastRow="0" w:noHBand="0" w:noVBand="1" w:val="04A0"/>
      </w:tblPr>
      <w:tblGrid>
        <w:gridCol w:w="4939"/>
        <w:gridCol w:w="4939"/>
      </w:tblGrid>
      <w:tr>
        <w:trPr>
          <w:cantSplit/>
        </w:trPr>
        <w:tc>
          <w:tcPr>
            <w:tcW w:type="dxa" w:w="4939"/>
          </w:tcPr>
          <w:p>
            <w:r>
              <w:t>Stage</w:t>
            </w:r>
          </w:p>
        </w:tc>
        <w:tc>
          <w:tcPr>
            <w:tcW w:type="dxa" w:w="4939"/>
          </w:tcPr>
          <w:p>
            <w:r>
              <w:t>Assessor action</w:t>
            </w:r>
          </w:p>
        </w:tc>
      </w:tr>
      <w:tr>
        <w:trPr>
          <w:cantSplit/>
        </w:trPr>
        <w:tc>
          <w:tcPr>
            <w:tcW w:type="dxa" w:w="4939"/>
          </w:tcPr>
          <w:p>
            <w:r>
              <w:t>Before</w:t>
            </w:r>
          </w:p>
        </w:tc>
        <w:tc>
          <w:tcPr>
            <w:tcW w:type="dxa" w:w="4939"/>
          </w:tcPr>
          <w:p>
            <w:r>
              <w:t>Confirm candidate identity, accommodations, assessment versions, venue and allowed materials; explain timing, C/NYC, re-assessment and appeal.</w:t>
            </w:r>
          </w:p>
        </w:tc>
      </w:tr>
      <w:tr>
        <w:trPr>
          <w:cantSplit/>
        </w:trPr>
        <w:tc>
          <w:tcPr>
            <w:tcW w:type="dxa" w:w="4939"/>
          </w:tcPr>
          <w:p>
            <w:r>
              <w:t>During</w:t>
            </w:r>
          </w:p>
        </w:tc>
        <w:tc>
          <w:tcPr>
            <w:tcW w:type="dxa" w:w="4939"/>
          </w:tcPr>
          <w:p>
            <w:r>
              <w:t>Supervise the individual 60-minute WA followed by the 60-minute CS; answer process questions only and record incidents.</w:t>
            </w:r>
          </w:p>
        </w:tc>
      </w:tr>
      <w:tr>
        <w:trPr>
          <w:cantSplit/>
        </w:trPr>
        <w:tc>
          <w:tcPr>
            <w:tcW w:type="dxa" w:w="4939"/>
          </w:tcPr>
          <w:p>
            <w:r>
              <w:t>After</w:t>
            </w:r>
          </w:p>
        </w:tc>
        <w:tc>
          <w:tcPr>
            <w:tcW w:type="dxa" w:w="4939"/>
          </w:tcPr>
          <w:p>
            <w:r>
              <w:t>Secure submissions, apply the controlled rubric independently, record evidence and feedback, complete required signatures and TMS status.</w:t>
            </w:r>
          </w:p>
        </w:tc>
      </w:tr>
    </w:tbl>
    <w:p/>
    <w:p>
      <w:pPr>
        <w:pStyle w:val="Heading1"/>
      </w:pPr>
      <w:r>
        <w:t>Version and distribution</w:t>
      </w:r>
    </w:p>
    <w:p>
      <w:r>
        <w:t>This version 4.1 plan aligns with the v6.3 courseware and v3.2 candidate papers dated 27 September 2026. The superseded v4.0 plan contains old course content and answer annexes and must not be used as the current TMS link. Confidential marking material is maintained separately.</w:t>
      </w:r>
    </w:p>
    <w:sectPr w:rsidR="00FC693F" w:rsidRPr="0006063C" w:rsidSect="00034616">
      <w:footerReference w:type="default" r:id="rId9"/>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TGS-2024045795  |  Assessment Plan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A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4C8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4C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84C8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