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FACILITATOR GUIDE</w:t>
      </w:r>
    </w:p>
    <w:p>
      <w:pPr>
        <w:pStyle w:val="Heading1"/>
      </w:pPr>
      <w:r>
        <w:t>Microsoft Copilot for HR</w:t>
      </w:r>
    </w:p>
    <w:p>
      <w:r>
        <w:t>Course Code: TGS-2024045795  |  2 days / 16 hours  |  Human Resource Digitalisation-4 (HRS-HRM-4031-1.1)</w:t>
      </w:r>
    </w:p>
    <w:p>
      <w:r>
        <w:t>Tertiary Infotech Academy Pte Ltd  |  UEN 201200696W</w:t>
      </w:r>
    </w:p>
    <w:p>
      <w:r>
        <w:t>Version 6.3  |  27 September 2026</w:t>
      </w:r>
    </w:p>
    <w:p>
      <w:r>
        <w:t>This document contains assessment administration and evidence requirements only. Candidate question papers and confidential answer keys are controlled separately.</w:t>
      </w:r>
    </w:p>
    <w:p>
      <w:pPr>
        <w:pStyle w:val="Heading1"/>
      </w:pPr>
      <w:r>
        <w:t>Delivery intent</w:t>
      </w:r>
    </w:p>
    <w:p>
      <w:r>
        <w:t>Use visual slides to frame decisions and the Learner Guide and numbered Labs for detailed procedures. Work with synthetic HR data and approved Microsoft 365 tenant content. Every consequential HR decision retains a named human owner.</w:t>
      </w:r>
    </w:p>
    <w:p>
      <w:pPr>
        <w:pStyle w:val="Heading1"/>
      </w:pPr>
      <w:r>
        <w:t>Learning outcomes</w:t>
      </w:r>
    </w:p>
    <w:p>
      <w:pPr>
        <w:pStyle w:val="ListNumber"/>
      </w:pPr>
      <w:r>
        <w:t>LO1. Compare how generative and agentic AI reshape HR operating models versus conventional HR delivery.</w:t>
      </w:r>
    </w:p>
    <w:p>
      <w:pPr>
        <w:pStyle w:val="ListNumber"/>
      </w:pPr>
      <w:r>
        <w:t>LO2. Analyse where Microsoft 365 Copilot and AI agents can improve end-to-end HR processes and employee experience.</w:t>
      </w:r>
    </w:p>
    <w:p>
      <w:pPr>
        <w:pStyle w:val="ListNumber"/>
      </w:pPr>
      <w:r>
        <w:t>LO3. Conduct feasibility analysis and design a governed implementation for an HR generative-AI or agentic-AI use case.</w:t>
      </w:r>
    </w:p>
    <w:p>
      <w:pPr>
        <w:pStyle w:val="ListNumber"/>
      </w:pPr>
      <w:r>
        <w:t>LO4. Apply legal, ethical, privacy, security, fairness and human-oversight controls to AI-enabled HR work.</w:t>
      </w:r>
    </w:p>
    <w:p>
      <w:pPr>
        <w:pStyle w:val="Heading1"/>
      </w:pPr>
      <w:r>
        <w:t>Before the class</w:t>
      </w:r>
    </w:p>
    <w:p>
      <w:pPr>
        <w:pStyle w:val="ListBullet"/>
      </w:pPr>
      <w:r>
        <w:t>Confirm trainer and learner access to the current slides, Learner Guide, Labs and licensed Microsoft 365/Copilot tools; prepare a no-tenant fallback using the supplied mock data.</w:t>
      </w:r>
    </w:p>
    <w:p>
      <w:pPr>
        <w:pStyle w:val="ListBullet"/>
      </w:pPr>
      <w:r>
        <w:t>Check that the 12 Lab folders contain instructions, prompts, synthetic data, workflow diagrams and evidence workbooks. Demonstrate one complete Test-it record before independent practice.</w:t>
      </w:r>
    </w:p>
    <w:p>
      <w:pPr>
        <w:pStyle w:val="ListBullet"/>
      </w:pPr>
      <w:r>
        <w:t>Confirm assessment venue, timing, candidate identity process and accessible accommodations under the approved ATO procedure. Keep question papers controlled and answer keys out of learner links.</w:t>
      </w:r>
    </w:p>
    <w:p>
      <w:pPr>
        <w:pStyle w:val="Heading1"/>
      </w:pPr>
      <w:r>
        <w:t>Day 1 run of show</w:t>
      </w:r>
    </w:p>
    <w:tbl>
      <w:tblPr>
        <w:tblStyle w:val="LightShading-Accent1"/>
        <w:tblW w:type="auto" w:w="0"/>
        <w:jc w:val="center"/>
        <w:tblLook w:firstColumn="1" w:firstRow="1" w:lastColumn="0" w:lastRow="0" w:noHBand="0" w:noVBand="1" w:val="04A0"/>
      </w:tblPr>
      <w:tblGrid>
        <w:gridCol w:w="3293"/>
        <w:gridCol w:w="3293"/>
        <w:gridCol w:w="3293"/>
      </w:tblGrid>
      <w:tr>
        <w:trPr>
          <w:cantSplit/>
        </w:trPr>
        <w:tc>
          <w:tcPr>
            <w:tcW w:type="dxa" w:w="3293"/>
          </w:tcPr>
          <w:p>
            <w:r>
              <w:t>Time</w:t>
            </w:r>
          </w:p>
        </w:tc>
        <w:tc>
          <w:tcPr>
            <w:tcW w:type="dxa" w:w="3293"/>
          </w:tcPr>
          <w:p>
            <w:r>
              <w:t>Facilitation</w:t>
            </w:r>
          </w:p>
        </w:tc>
        <w:tc>
          <w:tcPr>
            <w:tcW w:type="dxa" w:w="3293"/>
          </w:tcPr>
          <w:p>
            <w:r>
              <w:t>Evidence to collect</w:t>
            </w:r>
          </w:p>
        </w:tc>
      </w:tr>
      <w:tr>
        <w:trPr>
          <w:cantSplit/>
        </w:trPr>
        <w:tc>
          <w:tcPr>
            <w:tcW w:type="dxa" w:w="3293"/>
          </w:tcPr>
          <w:p>
            <w:r>
              <w:t>09:30–11:00</w:t>
            </w:r>
          </w:p>
        </w:tc>
        <w:tc>
          <w:tcPr>
            <w:tcW w:type="dxa" w:w="3293"/>
          </w:tcPr>
          <w:p>
            <w:r>
              <w:t>Welcome, outcomes and Unit 1: From Generative AI to Agentic HR</w:t>
            </w:r>
          </w:p>
        </w:tc>
        <w:tc>
          <w:tcPr>
            <w:tcW w:type="dxa" w:w="3293"/>
          </w:tcPr>
          <w:p>
            <w:r>
              <w:t>Distinguish rules, Copilot and bounded agents; name the human owner</w:t>
            </w:r>
          </w:p>
        </w:tc>
      </w:tr>
      <w:tr>
        <w:trPr>
          <w:cantSplit/>
        </w:trPr>
        <w:tc>
          <w:tcPr>
            <w:tcW w:type="dxa" w:w="3293"/>
          </w:tcPr>
          <w:p>
            <w:r>
              <w:t>11:00–13:00</w:t>
            </w:r>
          </w:p>
        </w:tc>
        <w:tc>
          <w:tcPr>
            <w:tcW w:type="dxa" w:w="3293"/>
          </w:tcPr>
          <w:p>
            <w:r>
              <w:t>Reflection, then parallel Labs 1–3: talent need, job description, screening</w:t>
            </w:r>
          </w:p>
        </w:tc>
        <w:tc>
          <w:tcPr>
            <w:tcW w:type="dxa" w:w="3293"/>
          </w:tcPr>
          <w:p>
            <w:r>
              <w:t>Source citations, job-related criteria, reviewable evidence matrix</w:t>
            </w:r>
          </w:p>
        </w:tc>
      </w:tr>
      <w:tr>
        <w:trPr>
          <w:cantSplit/>
        </w:trPr>
        <w:tc>
          <w:tcPr>
            <w:tcW w:type="dxa" w:w="3293"/>
          </w:tcPr>
          <w:p>
            <w:r>
              <w:t>14:00–15:30</w:t>
            </w:r>
          </w:p>
        </w:tc>
        <w:tc>
          <w:tcPr>
            <w:tcW w:type="dxa" w:w="3293"/>
          </w:tcPr>
          <w:p>
            <w:r>
              <w:t>Unit 2: Microsoft 365 Copilot Across the HR Lifecycle</w:t>
            </w:r>
          </w:p>
        </w:tc>
        <w:tc>
          <w:tcPr>
            <w:tcW w:type="dxa" w:w="3293"/>
          </w:tcPr>
          <w:p>
            <w:r>
              <w:t>Show a prompt, grounded response, verification and approval</w:t>
            </w:r>
          </w:p>
        </w:tc>
      </w:tr>
      <w:tr>
        <w:trPr>
          <w:cantSplit/>
        </w:trPr>
        <w:tc>
          <w:tcPr>
            <w:tcW w:type="dxa" w:w="3293"/>
          </w:tcPr>
          <w:p>
            <w:r>
              <w:t>15:30–18:30</w:t>
            </w:r>
          </w:p>
        </w:tc>
        <w:tc>
          <w:tcPr>
            <w:tcW w:type="dxa" w:w="3293"/>
          </w:tcPr>
          <w:p>
            <w:r>
              <w:t>Reflection, parallel Labs 4–6 and teach-back</w:t>
            </w:r>
          </w:p>
        </w:tc>
        <w:tc>
          <w:tcPr>
            <w:tcW w:type="dxa" w:w="3293"/>
          </w:tcPr>
          <w:p>
            <w:r>
              <w:t>Structured interview, onboarding and development evidence</w:t>
            </w:r>
          </w:p>
        </w:tc>
      </w:tr>
    </w:tbl>
    <w:p/>
    <w:p>
      <w:r>
        <w:br w:type="page"/>
      </w:r>
    </w:p>
    <w:p>
      <w:pPr>
        <w:pStyle w:val="Heading1"/>
      </w:pPr>
      <w:r>
        <w:t>Day 2 run of show</w:t>
      </w:r>
    </w:p>
    <w:tbl>
      <w:tblPr>
        <w:tblStyle w:val="LightShading-Accent1"/>
        <w:tblW w:type="auto" w:w="0"/>
        <w:jc w:val="center"/>
        <w:tblLook w:firstColumn="1" w:firstRow="1" w:lastColumn="0" w:lastRow="0" w:noHBand="0" w:noVBand="1" w:val="04A0"/>
      </w:tblPr>
      <w:tblGrid>
        <w:gridCol w:w="3293"/>
        <w:gridCol w:w="3293"/>
        <w:gridCol w:w="3293"/>
      </w:tblGrid>
      <w:tr>
        <w:trPr>
          <w:cantSplit/>
        </w:trPr>
        <w:tc>
          <w:tcPr>
            <w:tcW w:type="dxa" w:w="3293"/>
          </w:tcPr>
          <w:p>
            <w:r>
              <w:t>Time</w:t>
            </w:r>
          </w:p>
        </w:tc>
        <w:tc>
          <w:tcPr>
            <w:tcW w:type="dxa" w:w="3293"/>
          </w:tcPr>
          <w:p>
            <w:r>
              <w:t>Facilitation</w:t>
            </w:r>
          </w:p>
        </w:tc>
        <w:tc>
          <w:tcPr>
            <w:tcW w:type="dxa" w:w="3293"/>
          </w:tcPr>
          <w:p>
            <w:r>
              <w:t>Evidence to collect</w:t>
            </w:r>
          </w:p>
        </w:tc>
      </w:tr>
      <w:tr>
        <w:trPr>
          <w:cantSplit/>
        </w:trPr>
        <w:tc>
          <w:tcPr>
            <w:tcW w:type="dxa" w:w="3293"/>
          </w:tcPr>
          <w:p>
            <w:r>
              <w:t>09:30–11:00</w:t>
            </w:r>
          </w:p>
        </w:tc>
        <w:tc>
          <w:tcPr>
            <w:tcW w:type="dxa" w:w="3293"/>
          </w:tcPr>
          <w:p>
            <w:r>
              <w:t>Retrieval practice and Unit 3: Build Governed HR Agents</w:t>
            </w:r>
          </w:p>
        </w:tc>
        <w:tc>
          <w:tcPr>
            <w:tcW w:type="dxa" w:w="3293"/>
          </w:tcPr>
          <w:p>
            <w:r>
              <w:t>Purpose, knowledge, instructions, tools, boundaries and tests</w:t>
            </w:r>
          </w:p>
        </w:tc>
      </w:tr>
      <w:tr>
        <w:trPr>
          <w:cantSplit/>
        </w:trPr>
        <w:tc>
          <w:tcPr>
            <w:tcW w:type="dxa" w:w="3293"/>
          </w:tcPr>
          <w:p>
            <w:r>
              <w:t>11:00–13:00</w:t>
            </w:r>
          </w:p>
        </w:tc>
        <w:tc>
          <w:tcPr>
            <w:tcW w:type="dxa" w:w="3293"/>
          </w:tcPr>
          <w:p>
            <w:r>
              <w:t>Reflection and parallel Labs 7–9: policy, leave and benefits agents</w:t>
            </w:r>
          </w:p>
        </w:tc>
        <w:tc>
          <w:tcPr>
            <w:tcW w:type="dxa" w:w="3293"/>
          </w:tcPr>
          <w:p>
            <w:r>
              <w:t>Citation, permission and escalation tests; idempotent leave flow</w:t>
            </w:r>
          </w:p>
        </w:tc>
      </w:tr>
      <w:tr>
        <w:trPr>
          <w:cantSplit/>
        </w:trPr>
        <w:tc>
          <w:tcPr>
            <w:tcW w:type="dxa" w:w="3293"/>
          </w:tcPr>
          <w:p>
            <w:r>
              <w:t>14:00–16:00</w:t>
            </w:r>
          </w:p>
        </w:tc>
        <w:tc>
          <w:tcPr>
            <w:tcW w:type="dxa" w:w="3293"/>
          </w:tcPr>
          <w:p>
            <w:r>
              <w:t>Unit 4: Responsible Adoption; reflection and Labs 10–12</w:t>
            </w:r>
          </w:p>
        </w:tc>
        <w:tc>
          <w:tcPr>
            <w:tcW w:type="dxa" w:w="3293"/>
          </w:tcPr>
          <w:p>
            <w:r>
              <w:t>Privacy, fairness, owner and scale/stop decision</w:t>
            </w:r>
          </w:p>
        </w:tc>
      </w:tr>
      <w:tr>
        <w:trPr>
          <w:cantSplit/>
        </w:trPr>
        <w:tc>
          <w:tcPr>
            <w:tcW w:type="dxa" w:w="3293"/>
          </w:tcPr>
          <w:p>
            <w:r>
              <w:t>16:00–18:30</w:t>
            </w:r>
          </w:p>
        </w:tc>
        <w:tc>
          <w:tcPr>
            <w:tcW w:type="dxa" w:w="3293"/>
          </w:tcPr>
          <w:p>
            <w:r>
              <w:t>Assessment briefing; 16:30–17:30 WA; 17:30–18:30 Case Study</w:t>
            </w:r>
          </w:p>
        </w:tc>
        <w:tc>
          <w:tcPr>
            <w:tcW w:type="dxa" w:w="3293"/>
          </w:tcPr>
          <w:p>
            <w:r>
              <w:t>Individual candidate submissions and assessor records</w:t>
            </w:r>
          </w:p>
        </w:tc>
      </w:tr>
    </w:tbl>
    <w:p/>
    <w:p>
      <w:r>
        <w:t>Lunch is 13:00–14:00 on both days. The two 15-minute facilitated reflections each day are contact time. Labs are parallel pods; each learner completes an assigned in-class lab and shares evidence. The remaining labs are self-paced extensions, as detailed in the Lesson Plan.</w:t>
      </w:r>
    </w:p>
    <w:p>
      <w:pPr>
        <w:pStyle w:val="Heading1"/>
      </w:pPr>
      <w:r>
        <w:t>Lab coaching and control points</w:t>
      </w:r>
    </w:p>
    <w:tbl>
      <w:tblPr>
        <w:tblStyle w:val="LightShading-Accent1"/>
        <w:tblW w:type="auto" w:w="0"/>
        <w:jc w:val="center"/>
        <w:tblLook w:firstColumn="1" w:firstRow="1" w:lastColumn="0" w:lastRow="0" w:noHBand="0" w:noVBand="1" w:val="04A0"/>
      </w:tblPr>
      <w:tblGrid>
        <w:gridCol w:w="3293"/>
        <w:gridCol w:w="3293"/>
        <w:gridCol w:w="3293"/>
      </w:tblGrid>
      <w:tr>
        <w:trPr>
          <w:cantSplit/>
        </w:trPr>
        <w:tc>
          <w:tcPr>
            <w:tcW w:type="dxa" w:w="3293"/>
          </w:tcPr>
          <w:p>
            <w:r>
              <w:t>Labs</w:t>
            </w:r>
          </w:p>
        </w:tc>
        <w:tc>
          <w:tcPr>
            <w:tcW w:type="dxa" w:w="3293"/>
          </w:tcPr>
          <w:p>
            <w:r>
              <w:t>Observe</w:t>
            </w:r>
          </w:p>
        </w:tc>
        <w:tc>
          <w:tcPr>
            <w:tcW w:type="dxa" w:w="3293"/>
          </w:tcPr>
          <w:p>
            <w:r>
              <w:t>Intervene when</w:t>
            </w:r>
          </w:p>
        </w:tc>
      </w:tr>
      <w:tr>
        <w:trPr>
          <w:cantSplit/>
        </w:trPr>
        <w:tc>
          <w:tcPr>
            <w:tcW w:type="dxa" w:w="3293"/>
          </w:tcPr>
          <w:p>
            <w:r>
              <w:t>1–3</w:t>
            </w:r>
          </w:p>
        </w:tc>
        <w:tc>
          <w:tcPr>
            <w:tcW w:type="dxa" w:w="3293"/>
          </w:tcPr>
          <w:p>
            <w:r>
              <w:t>Cited talent evidence, inclusive criteria, candidate correction route</w:t>
            </w:r>
          </w:p>
        </w:tc>
        <w:tc>
          <w:tcPr>
            <w:tcW w:type="dxa" w:w="3293"/>
          </w:tcPr>
          <w:p>
            <w:r>
              <w:t>AI is allowed to decide or reject a candidate</w:t>
            </w:r>
          </w:p>
        </w:tc>
      </w:tr>
      <w:tr>
        <w:trPr>
          <w:cantSplit/>
        </w:trPr>
        <w:tc>
          <w:tcPr>
            <w:tcW w:type="dxa" w:w="3293"/>
          </w:tcPr>
          <w:p>
            <w:r>
              <w:t>4–6</w:t>
            </w:r>
          </w:p>
        </w:tc>
        <w:tc>
          <w:tcPr>
            <w:tcW w:type="dxa" w:w="3293"/>
          </w:tcPr>
          <w:p>
            <w:r>
              <w:t>Consistent interviews, approved onboarding tasks, employee-led development</w:t>
            </w:r>
          </w:p>
        </w:tc>
        <w:tc>
          <w:tcPr>
            <w:tcW w:type="dxa" w:w="3293"/>
          </w:tcPr>
          <w:p>
            <w:r>
              <w:t>A model infers personality or commits employment terms</w:t>
            </w:r>
          </w:p>
        </w:tc>
      </w:tr>
      <w:tr>
        <w:trPr>
          <w:cantSplit/>
        </w:trPr>
        <w:tc>
          <w:tcPr>
            <w:tcW w:type="dxa" w:w="3293"/>
          </w:tcPr>
          <w:p>
            <w:r>
              <w:t>7–9</w:t>
            </w:r>
          </w:p>
        </w:tc>
        <w:tc>
          <w:tcPr>
            <w:tcW w:type="dxa" w:w="3293"/>
          </w:tcPr>
          <w:p>
            <w:r>
              <w:t>Current policy citation, authenticated personal status, deterministic approval</w:t>
            </w:r>
          </w:p>
        </w:tc>
        <w:tc>
          <w:tcPr>
            <w:tcW w:type="dxa" w:w="3293"/>
          </w:tcPr>
          <w:p>
            <w:r>
              <w:t>An agent claims entitlement or writes twice without confirmation</w:t>
            </w:r>
          </w:p>
        </w:tc>
      </w:tr>
      <w:tr>
        <w:trPr>
          <w:cantSplit/>
        </w:trPr>
        <w:tc>
          <w:tcPr>
            <w:tcW w:type="dxa" w:w="3293"/>
          </w:tcPr>
          <w:p>
            <w:r>
              <w:t>10–12</w:t>
            </w:r>
          </w:p>
        </w:tc>
        <w:tc>
          <w:tcPr>
            <w:tcW w:type="dxa" w:w="3293"/>
          </w:tcPr>
          <w:p>
            <w:r>
              <w:t>Aggregated wellness data, controlled offboarding, balanced control-room metrics</w:t>
            </w:r>
          </w:p>
        </w:tc>
        <w:tc>
          <w:tcPr>
            <w:tcW w:type="dxa" w:w="3293"/>
          </w:tcPr>
          <w:p>
            <w:r>
              <w:t>Individual health inference or access removal lacks approval</w:t>
            </w:r>
          </w:p>
        </w:tc>
      </w:tr>
    </w:tbl>
    <w:p/>
    <w:p>
      <w:pPr>
        <w:pStyle w:val="Heading1"/>
      </w:pPr>
      <w:r>
        <w:t>Assessment conduct</w:t>
      </w:r>
    </w:p>
    <w:p>
      <w:pPr>
        <w:pStyle w:val="ListBullet"/>
      </w:pPr>
      <w:r>
        <w:t>Use the current Written Assessment and Case Study candidate papers, version 3.2. Each is 60 minutes, individual and open-book under the conditions printed on the paper.</w:t>
      </w:r>
    </w:p>
    <w:p>
      <w:pPr>
        <w:pStyle w:val="ListBullet"/>
      </w:pPr>
      <w:r>
        <w:t>Allow only the materials named in the candidate instructions. Explain C/NYC decisions, the appeal route and the re-assessment procedure without coaching answers.</w:t>
      </w:r>
    </w:p>
    <w:p>
      <w:pPr>
        <w:pStyle w:val="ListBullet"/>
      </w:pPr>
      <w:r>
        <w:t>Protect submissions and assessor records. Put confidential answer keys in trainer-controlled storage; never attach them to TMS courseware links or public repositories.</w:t>
      </w:r>
    </w:p>
    <w:p>
      <w:pPr>
        <w:pStyle w:val="Heading1"/>
      </w:pPr>
      <w:r>
        <w:t>After delivery</w:t>
      </w:r>
    </w:p>
    <w:p>
      <w:pPr>
        <w:pStyle w:val="ListBullet"/>
      </w:pPr>
      <w:r>
        <w:t>Check that each learner's lab evidence names the source, the human reviewer, exceptions and one Test-it result.</w:t>
      </w:r>
    </w:p>
    <w:p>
      <w:pPr>
        <w:pStyle w:val="ListBullet"/>
      </w:pPr>
      <w:r>
        <w:t>Record attendance, individual assessment decisions, feedback and follow-up in the approved TMS workflow.</w:t>
      </w:r>
    </w:p>
    <w:p>
      <w:pPr>
        <w:pStyle w:val="ListBullet"/>
      </w:pPr>
      <w:r>
        <w:t>Escalate product access, licence or connector limitations as environment constraints; use synthetic fallback evidence and mark any unperformed live test clearly.</w:t>
      </w:r>
    </w:p>
    <w:sectPr w:rsidR="00FC693F" w:rsidRPr="0006063C" w:rsidSect="00034616">
      <w:footerReference w:type="default" r:id="rId9"/>
      <w:pgSz w:w="12240" w:h="15840"/>
      <w:pgMar w:top="1008" w:right="1181" w:bottom="936"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TGS-2024045795  |  Facilitator Guide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72A3F"/>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84C8B"/>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84C8B"/>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84C8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