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TERTIARY INFOTECH ACADEMY</w:t>
        <w:br/>
      </w:r>
      <w:r>
        <w:rPr>
          <w:b/>
        </w:rPr>
        <w:br/>
        <w:t>LESSON PLAN</w:t>
        <w:br/>
      </w:r>
      <w:r>
        <w:rPr>
          <w:b/>
          <w:color w:val="0C2340"/>
          <w:sz w:val="56"/>
        </w:rPr>
        <w:br/>
        <w:t>Agentic AI for HR</w:t>
      </w:r>
      <w:r>
        <w:br/>
        <w:br/>
        <w:t>Course Code: TGS-2024045795</w:t>
        <w:br/>
        <w:t>2 days / 16 hours</w:t>
        <w:br/>
        <w:t>Human Resource Digitalisation-4 (HRS-HRM-4031-1.1)</w:t>
        <w:br/>
        <w:br/>
        <w:t>Version 6.0 • 16 August 2026</w:t>
      </w:r>
    </w:p>
    <w:p>
      <w:r>
        <w:br w:type="page"/>
      </w:r>
    </w:p>
    <w:p>
      <w:pPr>
        <w:pStyle w:val="Heading1"/>
      </w:pPr>
      <w:r>
        <w:t>Course and delivery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fill="0C2340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5040"/>
            <w:shd w:val="clear" w:fill="0C2340"/>
          </w:tcPr>
          <w:p>
            <w:r>
              <w:rPr>
                <w:b/>
                <w:color w:val="FFFFFF"/>
              </w:rPr>
              <w:t>Detail</w:t>
            </w:r>
          </w:p>
        </w:tc>
      </w:tr>
      <w:tr>
        <w:tc>
          <w:tcPr>
            <w:tcW w:type="dxa" w:w="5040"/>
            <w:vAlign w:val="center"/>
          </w:tcPr>
          <w:p>
            <w:r>
              <w:t>Course</w:t>
            </w:r>
          </w:p>
        </w:tc>
        <w:tc>
          <w:tcPr>
            <w:tcW w:type="dxa" w:w="5040"/>
            <w:vAlign w:val="center"/>
          </w:tcPr>
          <w:p>
            <w:r>
              <w:t>Agentic AI for HR</w:t>
            </w:r>
          </w:p>
        </w:tc>
      </w:tr>
      <w:tr>
        <w:tc>
          <w:tcPr>
            <w:tcW w:type="dxa" w:w="5040"/>
            <w:vAlign w:val="center"/>
          </w:tcPr>
          <w:p>
            <w:r>
              <w:t>Code</w:t>
            </w:r>
          </w:p>
        </w:tc>
        <w:tc>
          <w:tcPr>
            <w:tcW w:type="dxa" w:w="5040"/>
            <w:vAlign w:val="center"/>
          </w:tcPr>
          <w:p>
            <w:r>
              <w:t>TGS-2024045795</w:t>
            </w:r>
          </w:p>
        </w:tc>
      </w:tr>
      <w:tr>
        <w:tc>
          <w:tcPr>
            <w:tcW w:type="dxa" w:w="5040"/>
            <w:vAlign w:val="center"/>
          </w:tcPr>
          <w:p>
            <w:r>
              <w:t>Duration</w:t>
            </w:r>
          </w:p>
        </w:tc>
        <w:tc>
          <w:tcPr>
            <w:tcW w:type="dxa" w:w="5040"/>
            <w:vAlign w:val="center"/>
          </w:tcPr>
          <w:p>
            <w:r>
              <w:t>2 days, 09:00–18:00 daily; 16 training hours excluding lunch</w:t>
            </w:r>
          </w:p>
        </w:tc>
      </w:tr>
      <w:tr>
        <w:tc>
          <w:tcPr>
            <w:tcW w:type="dxa" w:w="5040"/>
            <w:vAlign w:val="center"/>
          </w:tcPr>
          <w:p>
            <w:r>
              <w:t>Mode</w:t>
            </w:r>
          </w:p>
        </w:tc>
        <w:tc>
          <w:tcPr>
            <w:tcW w:type="dxa" w:w="5040"/>
            <w:vAlign w:val="center"/>
          </w:tcPr>
          <w:p>
            <w:r>
              <w:t>Facilitated classroom or synchronous virtual delivery</w:t>
            </w:r>
          </w:p>
        </w:tc>
      </w:tr>
      <w:tr>
        <w:tc>
          <w:tcPr>
            <w:tcW w:type="dxa" w:w="5040"/>
            <w:vAlign w:val="center"/>
          </w:tcPr>
          <w:p>
            <w:r>
              <w:t>Assessment</w:t>
            </w:r>
          </w:p>
        </w:tc>
        <w:tc>
          <w:tcPr>
            <w:tcW w:type="dxa" w:w="5040"/>
            <w:vAlign w:val="center"/>
          </w:tcPr>
          <w:p>
            <w:r>
              <w:t>Written Assessment, 60 minutes; Case Study Assessment, 60 minutes</w:t>
            </w:r>
          </w:p>
        </w:tc>
      </w:tr>
    </w:tbl>
    <w:p>
      <w:pPr>
        <w:pStyle w:val="Heading1"/>
      </w:pPr>
      <w:r>
        <w:t>Learning outcomes and evidence</w:t>
      </w:r>
    </w:p>
    <w:p>
      <w:r>
        <w:t>LO1: Compare how generative and agentic AI reshape HR operating models versus conventional HR delivery.</w:t>
      </w:r>
    </w:p>
    <w:p>
      <w:r>
        <w:t>LO2: Analyse where Microsoft 365 Copilot and AI agents can improve end-to-end HR processes and employee experience.</w:t>
      </w:r>
    </w:p>
    <w:p>
      <w:r>
        <w:t>LO3: Conduct feasibility analysis and design a governed implementation for an HR generative-AI or agentic-AI use case.</w:t>
      </w:r>
    </w:p>
    <w:p>
      <w:r>
        <w:t>LO4: Apply legal, ethical, privacy, security, fairness and human-oversight controls to AI-enabled HR work.</w:t>
      </w:r>
    </w:p>
    <w:p>
      <w:pPr>
        <w:pStyle w:val="Heading1"/>
      </w:pPr>
      <w:r>
        <w:t>Facilitation principles</w:t>
      </w:r>
    </w:p>
    <w:p>
      <w:pPr>
        <w:pStyle w:val="ListBullet"/>
      </w:pPr>
      <w:r>
        <w:t>Use the slides for visual explanation; use the Learner Guide for procedures.</w:t>
      </w:r>
    </w:p>
    <w:p>
      <w:pPr>
        <w:pStyle w:val="ListBullet"/>
      </w:pPr>
      <w:r>
        <w:t>Demonstrate only with synthetic records and approved tenant content.</w:t>
      </w:r>
    </w:p>
    <w:p>
      <w:pPr>
        <w:pStyle w:val="ListBullet"/>
      </w:pPr>
      <w:r>
        <w:t>Ask learners to state evidence, uncertainty and human ownership.</w:t>
      </w:r>
    </w:p>
    <w:p>
      <w:pPr>
        <w:pStyle w:val="ListBullet"/>
      </w:pPr>
      <w:r>
        <w:t>Do not coach or disclose answers during individual assessment.</w:t>
      </w:r>
    </w:p>
    <w:p>
      <w:r>
        <w:br w:type="page"/>
      </w:r>
    </w:p>
    <w:p>
      <w:pPr>
        <w:pStyle w:val="Heading1"/>
      </w:pPr>
      <w:r>
        <w:t>Day 1 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fill="0C2340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520"/>
            <w:shd w:val="clear" w:fill="0C2340"/>
          </w:tcPr>
          <w:p>
            <w:r>
              <w:rPr>
                <w:b/>
                <w:color w:val="FFFFFF"/>
              </w:rPr>
              <w:t>Topic/activity</w:t>
            </w:r>
          </w:p>
        </w:tc>
        <w:tc>
          <w:tcPr>
            <w:tcW w:type="dxa" w:w="2520"/>
            <w:shd w:val="clear" w:fill="0C2340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520"/>
            <w:shd w:val="clear" w:fill="0C2340"/>
          </w:tcPr>
          <w:p>
            <w:r>
              <w:rPr>
                <w:b/>
                <w:color w:val="FFFFFF"/>
              </w:rPr>
              <w:t>Slide/evidence alignment</w:t>
            </w:r>
          </w:p>
        </w:tc>
      </w:tr>
      <w:tr>
        <w:tc>
          <w:tcPr>
            <w:tcW w:type="dxa" w:w="2520"/>
            <w:vAlign w:val="center"/>
          </w:tcPr>
          <w:p>
            <w:r>
              <w:t>09:00–09:30</w:t>
            </w:r>
          </w:p>
        </w:tc>
        <w:tc>
          <w:tcPr>
            <w:tcW w:type="dxa" w:w="2520"/>
            <w:vAlign w:val="center"/>
          </w:tcPr>
          <w:p>
            <w:r>
              <w:t>Welcome, outcomes and assessment briefing</w:t>
            </w:r>
          </w:p>
        </w:tc>
        <w:tc>
          <w:tcPr>
            <w:tcW w:type="dxa" w:w="2520"/>
            <w:vAlign w:val="center"/>
          </w:tcPr>
          <w:p>
            <w:r>
              <w:t>Facilitated briefing</w:t>
            </w:r>
          </w:p>
        </w:tc>
        <w:tc>
          <w:tcPr>
            <w:tcW w:type="dxa" w:w="2520"/>
            <w:vAlign w:val="center"/>
          </w:tcPr>
          <w:p>
            <w:r>
              <w:t>Slides 1–15</w:t>
            </w:r>
          </w:p>
        </w:tc>
      </w:tr>
      <w:tr>
        <w:tc>
          <w:tcPr>
            <w:tcW w:type="dxa" w:w="2520"/>
            <w:vAlign w:val="center"/>
          </w:tcPr>
          <w:p>
            <w:r>
              <w:t>09:30–10:30</w:t>
            </w:r>
          </w:p>
        </w:tc>
        <w:tc>
          <w:tcPr>
            <w:tcW w:type="dxa" w:w="2520"/>
            <w:vAlign w:val="center"/>
          </w:tcPr>
          <w:p>
            <w:r>
              <w:t>Unit 1 concepts</w:t>
            </w:r>
          </w:p>
        </w:tc>
        <w:tc>
          <w:tcPr>
            <w:tcW w:type="dxa" w:w="2520"/>
            <w:vAlign w:val="center"/>
          </w:tcPr>
          <w:p>
            <w:r>
              <w:t>Discussion and visual examples</w:t>
            </w:r>
          </w:p>
        </w:tc>
        <w:tc>
          <w:tcPr>
            <w:tcW w:type="dxa" w:w="2520"/>
            <w:vAlign w:val="center"/>
          </w:tcPr>
          <w:p>
            <w:r>
              <w:t>Slides 17–36</w:t>
            </w:r>
          </w:p>
        </w:tc>
      </w:tr>
      <w:tr>
        <w:tc>
          <w:tcPr>
            <w:tcW w:type="dxa" w:w="2520"/>
            <w:vAlign w:val="center"/>
          </w:tcPr>
          <w:p>
            <w:r>
              <w:t>10:30–10:45</w:t>
            </w:r>
          </w:p>
        </w:tc>
        <w:tc>
          <w:tcPr>
            <w:tcW w:type="dxa" w:w="2520"/>
            <w:vAlign w:val="center"/>
          </w:tcPr>
          <w:p>
            <w:r>
              <w:t>Break</w:t>
            </w:r>
          </w:p>
        </w:tc>
        <w:tc>
          <w:tcPr>
            <w:tcW w:type="dxa" w:w="2520"/>
            <w:vAlign w:val="center"/>
          </w:tcPr>
          <w:p>
            <w:r>
              <w:t>—</w:t>
            </w:r>
          </w:p>
        </w:tc>
        <w:tc>
          <w:tcPr>
            <w:tcW w:type="dxa" w:w="2520"/>
            <w:vAlign w:val="center"/>
          </w:tcPr>
          <w:p>
            <w:r>
              <w:t>—</w:t>
            </w:r>
          </w:p>
        </w:tc>
      </w:tr>
      <w:tr>
        <w:tc>
          <w:tcPr>
            <w:tcW w:type="dxa" w:w="2520"/>
            <w:vAlign w:val="center"/>
          </w:tcPr>
          <w:p>
            <w:r>
              <w:t>10:45–12:30</w:t>
            </w:r>
          </w:p>
        </w:tc>
        <w:tc>
          <w:tcPr>
            <w:tcW w:type="dxa" w:w="2520"/>
            <w:vAlign w:val="center"/>
          </w:tcPr>
          <w:p>
            <w:r>
              <w:t>Activities 1–3</w:t>
            </w:r>
          </w:p>
        </w:tc>
        <w:tc>
          <w:tcPr>
            <w:tcW w:type="dxa" w:w="2520"/>
            <w:vAlign w:val="center"/>
          </w:tcPr>
          <w:p>
            <w:r>
              <w:t>Team practice and review</w:t>
            </w:r>
          </w:p>
        </w:tc>
        <w:tc>
          <w:tcPr>
            <w:tcW w:type="dxa" w:w="2520"/>
            <w:vAlign w:val="center"/>
          </w:tcPr>
          <w:p>
            <w:r>
              <w:t>A1: 30–31; A2: 32–33; A3: 34–35</w:t>
            </w:r>
          </w:p>
        </w:tc>
      </w:tr>
      <w:tr>
        <w:tc>
          <w:tcPr>
            <w:tcW w:type="dxa" w:w="2520"/>
            <w:vAlign w:val="center"/>
          </w:tcPr>
          <w:p>
            <w:r>
              <w:t>12:30–13:30</w:t>
            </w:r>
          </w:p>
        </w:tc>
        <w:tc>
          <w:tcPr>
            <w:tcW w:type="dxa" w:w="2520"/>
            <w:vAlign w:val="center"/>
          </w:tcPr>
          <w:p>
            <w:r>
              <w:t>Lunch</w:t>
            </w:r>
          </w:p>
        </w:tc>
        <w:tc>
          <w:tcPr>
            <w:tcW w:type="dxa" w:w="2520"/>
            <w:vAlign w:val="center"/>
          </w:tcPr>
          <w:p>
            <w:r>
              <w:t>—</w:t>
            </w:r>
          </w:p>
        </w:tc>
        <w:tc>
          <w:tcPr>
            <w:tcW w:type="dxa" w:w="2520"/>
            <w:vAlign w:val="center"/>
          </w:tcPr>
          <w:p>
            <w:r>
              <w:t>—</w:t>
            </w:r>
          </w:p>
        </w:tc>
      </w:tr>
      <w:tr>
        <w:tc>
          <w:tcPr>
            <w:tcW w:type="dxa" w:w="2520"/>
            <w:vAlign w:val="center"/>
          </w:tcPr>
          <w:p>
            <w:r>
              <w:t>13:30–15:00</w:t>
            </w:r>
          </w:p>
        </w:tc>
        <w:tc>
          <w:tcPr>
            <w:tcW w:type="dxa" w:w="2520"/>
            <w:vAlign w:val="center"/>
          </w:tcPr>
          <w:p>
            <w:r>
              <w:t>Unit 2 concepts</w:t>
            </w:r>
          </w:p>
        </w:tc>
        <w:tc>
          <w:tcPr>
            <w:tcW w:type="dxa" w:w="2520"/>
            <w:vAlign w:val="center"/>
          </w:tcPr>
          <w:p>
            <w:r>
              <w:t>Demonstration and discussion</w:t>
            </w:r>
          </w:p>
        </w:tc>
        <w:tc>
          <w:tcPr>
            <w:tcW w:type="dxa" w:w="2520"/>
            <w:vAlign w:val="center"/>
          </w:tcPr>
          <w:p>
            <w:r>
              <w:t>Slides 37–56</w:t>
            </w:r>
          </w:p>
        </w:tc>
      </w:tr>
      <w:tr>
        <w:tc>
          <w:tcPr>
            <w:tcW w:type="dxa" w:w="2520"/>
            <w:vAlign w:val="center"/>
          </w:tcPr>
          <w:p>
            <w:r>
              <w:t>15:00–15:15</w:t>
            </w:r>
          </w:p>
        </w:tc>
        <w:tc>
          <w:tcPr>
            <w:tcW w:type="dxa" w:w="2520"/>
            <w:vAlign w:val="center"/>
          </w:tcPr>
          <w:p>
            <w:r>
              <w:t>Break</w:t>
            </w:r>
          </w:p>
        </w:tc>
        <w:tc>
          <w:tcPr>
            <w:tcW w:type="dxa" w:w="2520"/>
            <w:vAlign w:val="center"/>
          </w:tcPr>
          <w:p>
            <w:r>
              <w:t>—</w:t>
            </w:r>
          </w:p>
        </w:tc>
        <w:tc>
          <w:tcPr>
            <w:tcW w:type="dxa" w:w="2520"/>
            <w:vAlign w:val="center"/>
          </w:tcPr>
          <w:p>
            <w:r>
              <w:t>—</w:t>
            </w:r>
          </w:p>
        </w:tc>
      </w:tr>
      <w:tr>
        <w:tc>
          <w:tcPr>
            <w:tcW w:type="dxa" w:w="2520"/>
            <w:vAlign w:val="center"/>
          </w:tcPr>
          <w:p>
            <w:r>
              <w:t>15:15–17:30</w:t>
            </w:r>
          </w:p>
        </w:tc>
        <w:tc>
          <w:tcPr>
            <w:tcW w:type="dxa" w:w="2520"/>
            <w:vAlign w:val="center"/>
          </w:tcPr>
          <w:p>
            <w:r>
              <w:t>Activities 4–6</w:t>
            </w:r>
          </w:p>
        </w:tc>
        <w:tc>
          <w:tcPr>
            <w:tcW w:type="dxa" w:w="2520"/>
            <w:vAlign w:val="center"/>
          </w:tcPr>
          <w:p>
            <w:r>
              <w:t>Individual and team practice</w:t>
            </w:r>
          </w:p>
        </w:tc>
        <w:tc>
          <w:tcPr>
            <w:tcW w:type="dxa" w:w="2520"/>
            <w:vAlign w:val="center"/>
          </w:tcPr>
          <w:p>
            <w:r>
              <w:t>A4: 50–51; A5: 52–53; A6: 54–55</w:t>
            </w:r>
          </w:p>
        </w:tc>
      </w:tr>
      <w:tr>
        <w:tc>
          <w:tcPr>
            <w:tcW w:type="dxa" w:w="2520"/>
            <w:vAlign w:val="center"/>
          </w:tcPr>
          <w:p>
            <w:r>
              <w:t>17:30–18:00</w:t>
            </w:r>
          </w:p>
        </w:tc>
        <w:tc>
          <w:tcPr>
            <w:tcW w:type="dxa" w:w="2520"/>
            <w:vAlign w:val="center"/>
          </w:tcPr>
          <w:p>
            <w:r>
              <w:t>Day 1 integration and reflection</w:t>
            </w:r>
          </w:p>
        </w:tc>
        <w:tc>
          <w:tcPr>
            <w:tcW w:type="dxa" w:w="2520"/>
            <w:vAlign w:val="center"/>
          </w:tcPr>
          <w:p>
            <w:r>
              <w:t>Peer teach-back</w:t>
            </w:r>
          </w:p>
        </w:tc>
        <w:tc>
          <w:tcPr>
            <w:tcW w:type="dxa" w:w="2520"/>
            <w:vAlign w:val="center"/>
          </w:tcPr>
          <w:p>
            <w:r>
              <w:t>Recap</w:t>
            </w:r>
          </w:p>
        </w:tc>
      </w:tr>
    </w:tbl>
    <w:p>
      <w:pPr>
        <w:pStyle w:val="Heading2"/>
      </w:pPr>
      <w:r>
        <w:t>Trainer notes</w:t>
      </w:r>
    </w:p>
    <w:p>
      <w:r>
        <w:t>Establish the continuum from deterministic automation to Copilot-assisted work and bounded agency. Challenge learners to choose the lightest sufficient capability. During recruitment and policy activities, repeatedly separate evidence from inference and require human approval.</w:t>
      </w:r>
    </w:p>
    <w:p>
      <w:r>
        <w:br w:type="page"/>
      </w:r>
    </w:p>
    <w:p>
      <w:pPr>
        <w:pStyle w:val="Heading1"/>
      </w:pPr>
      <w:r>
        <w:t>Day 2 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fill="0C2340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520"/>
            <w:shd w:val="clear" w:fill="0C2340"/>
          </w:tcPr>
          <w:p>
            <w:r>
              <w:rPr>
                <w:b/>
                <w:color w:val="FFFFFF"/>
              </w:rPr>
              <w:t>Topic/activity</w:t>
            </w:r>
          </w:p>
        </w:tc>
        <w:tc>
          <w:tcPr>
            <w:tcW w:type="dxa" w:w="2520"/>
            <w:shd w:val="clear" w:fill="0C2340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520"/>
            <w:shd w:val="clear" w:fill="0C2340"/>
          </w:tcPr>
          <w:p>
            <w:r>
              <w:rPr>
                <w:b/>
                <w:color w:val="FFFFFF"/>
              </w:rPr>
              <w:t>Slide/evidence alignment</w:t>
            </w:r>
          </w:p>
        </w:tc>
      </w:tr>
      <w:tr>
        <w:tc>
          <w:tcPr>
            <w:tcW w:type="dxa" w:w="2520"/>
            <w:vAlign w:val="center"/>
          </w:tcPr>
          <w:p>
            <w:r>
              <w:t>09:00–09:15</w:t>
            </w:r>
          </w:p>
        </w:tc>
        <w:tc>
          <w:tcPr>
            <w:tcW w:type="dxa" w:w="2520"/>
            <w:vAlign w:val="center"/>
          </w:tcPr>
          <w:p>
            <w:r>
              <w:t>Day 1 retrieval practice</w:t>
            </w:r>
          </w:p>
        </w:tc>
        <w:tc>
          <w:tcPr>
            <w:tcW w:type="dxa" w:w="2520"/>
            <w:vAlign w:val="center"/>
          </w:tcPr>
          <w:p>
            <w:r>
              <w:t>Facilitated review</w:t>
            </w:r>
          </w:p>
        </w:tc>
        <w:tc>
          <w:tcPr>
            <w:tcW w:type="dxa" w:w="2520"/>
            <w:vAlign w:val="center"/>
          </w:tcPr>
          <w:p>
            <w:r>
              <w:t>Recap</w:t>
            </w:r>
          </w:p>
        </w:tc>
      </w:tr>
      <w:tr>
        <w:tc>
          <w:tcPr>
            <w:tcW w:type="dxa" w:w="2520"/>
            <w:vAlign w:val="center"/>
          </w:tcPr>
          <w:p>
            <w:r>
              <w:t>09:15–10:30</w:t>
            </w:r>
          </w:p>
        </w:tc>
        <w:tc>
          <w:tcPr>
            <w:tcW w:type="dxa" w:w="2520"/>
            <w:vAlign w:val="center"/>
          </w:tcPr>
          <w:p>
            <w:r>
              <w:t>Unit 3 concepts</w:t>
            </w:r>
          </w:p>
        </w:tc>
        <w:tc>
          <w:tcPr>
            <w:tcW w:type="dxa" w:w="2520"/>
            <w:vAlign w:val="center"/>
          </w:tcPr>
          <w:p>
            <w:r>
              <w:t>Agent design walkthrough</w:t>
            </w:r>
          </w:p>
        </w:tc>
        <w:tc>
          <w:tcPr>
            <w:tcW w:type="dxa" w:w="2520"/>
            <w:vAlign w:val="center"/>
          </w:tcPr>
          <w:p>
            <w:r>
              <w:t>Slides 57–76</w:t>
            </w:r>
          </w:p>
        </w:tc>
      </w:tr>
      <w:tr>
        <w:tc>
          <w:tcPr>
            <w:tcW w:type="dxa" w:w="2520"/>
            <w:vAlign w:val="center"/>
          </w:tcPr>
          <w:p>
            <w:r>
              <w:t>10:30–10:45</w:t>
            </w:r>
          </w:p>
        </w:tc>
        <w:tc>
          <w:tcPr>
            <w:tcW w:type="dxa" w:w="2520"/>
            <w:vAlign w:val="center"/>
          </w:tcPr>
          <w:p>
            <w:r>
              <w:t>Break</w:t>
            </w:r>
          </w:p>
        </w:tc>
        <w:tc>
          <w:tcPr>
            <w:tcW w:type="dxa" w:w="2520"/>
            <w:vAlign w:val="center"/>
          </w:tcPr>
          <w:p>
            <w:r>
              <w:t>—</w:t>
            </w:r>
          </w:p>
        </w:tc>
        <w:tc>
          <w:tcPr>
            <w:tcW w:type="dxa" w:w="2520"/>
            <w:vAlign w:val="center"/>
          </w:tcPr>
          <w:p>
            <w:r>
              <w:t>—</w:t>
            </w:r>
          </w:p>
        </w:tc>
      </w:tr>
      <w:tr>
        <w:tc>
          <w:tcPr>
            <w:tcW w:type="dxa" w:w="2520"/>
            <w:vAlign w:val="center"/>
          </w:tcPr>
          <w:p>
            <w:r>
              <w:t>10:45–12:30</w:t>
            </w:r>
          </w:p>
        </w:tc>
        <w:tc>
          <w:tcPr>
            <w:tcW w:type="dxa" w:w="2520"/>
            <w:vAlign w:val="center"/>
          </w:tcPr>
          <w:p>
            <w:r>
              <w:t>Activities 7–9</w:t>
            </w:r>
          </w:p>
        </w:tc>
        <w:tc>
          <w:tcPr>
            <w:tcW w:type="dxa" w:w="2520"/>
            <w:vAlign w:val="center"/>
          </w:tcPr>
          <w:p>
            <w:r>
              <w:t>Build, test and review</w:t>
            </w:r>
          </w:p>
        </w:tc>
        <w:tc>
          <w:tcPr>
            <w:tcW w:type="dxa" w:w="2520"/>
            <w:vAlign w:val="center"/>
          </w:tcPr>
          <w:p>
            <w:r>
              <w:t>A7: 70–71; A8: 72–73; A9: 74–75</w:t>
            </w:r>
          </w:p>
        </w:tc>
      </w:tr>
      <w:tr>
        <w:tc>
          <w:tcPr>
            <w:tcW w:type="dxa" w:w="2520"/>
            <w:vAlign w:val="center"/>
          </w:tcPr>
          <w:p>
            <w:r>
              <w:t>12:30–13:30</w:t>
            </w:r>
          </w:p>
        </w:tc>
        <w:tc>
          <w:tcPr>
            <w:tcW w:type="dxa" w:w="2520"/>
            <w:vAlign w:val="center"/>
          </w:tcPr>
          <w:p>
            <w:r>
              <w:t>Lunch</w:t>
            </w:r>
          </w:p>
        </w:tc>
        <w:tc>
          <w:tcPr>
            <w:tcW w:type="dxa" w:w="2520"/>
            <w:vAlign w:val="center"/>
          </w:tcPr>
          <w:p>
            <w:r>
              <w:t>—</w:t>
            </w:r>
          </w:p>
        </w:tc>
        <w:tc>
          <w:tcPr>
            <w:tcW w:type="dxa" w:w="2520"/>
            <w:vAlign w:val="center"/>
          </w:tcPr>
          <w:p>
            <w:r>
              <w:t>—</w:t>
            </w:r>
          </w:p>
        </w:tc>
      </w:tr>
      <w:tr>
        <w:tc>
          <w:tcPr>
            <w:tcW w:type="dxa" w:w="2520"/>
            <w:vAlign w:val="center"/>
          </w:tcPr>
          <w:p>
            <w:r>
              <w:t>13:30–14:30</w:t>
            </w:r>
          </w:p>
        </w:tc>
        <w:tc>
          <w:tcPr>
            <w:tcW w:type="dxa" w:w="2520"/>
            <w:vAlign w:val="center"/>
          </w:tcPr>
          <w:p>
            <w:r>
              <w:t>Unit 4 concepts</w:t>
            </w:r>
          </w:p>
        </w:tc>
        <w:tc>
          <w:tcPr>
            <w:tcW w:type="dxa" w:w="2520"/>
            <w:vAlign w:val="center"/>
          </w:tcPr>
          <w:p>
            <w:r>
              <w:t>Governance scenario analysis</w:t>
            </w:r>
          </w:p>
        </w:tc>
        <w:tc>
          <w:tcPr>
            <w:tcW w:type="dxa" w:w="2520"/>
            <w:vAlign w:val="center"/>
          </w:tcPr>
          <w:p>
            <w:r>
              <w:t>Slides 77–96</w:t>
            </w:r>
          </w:p>
        </w:tc>
      </w:tr>
      <w:tr>
        <w:tc>
          <w:tcPr>
            <w:tcW w:type="dxa" w:w="2520"/>
            <w:vAlign w:val="center"/>
          </w:tcPr>
          <w:p>
            <w:r>
              <w:t>14:30–14:45</w:t>
            </w:r>
          </w:p>
        </w:tc>
        <w:tc>
          <w:tcPr>
            <w:tcW w:type="dxa" w:w="2520"/>
            <w:vAlign w:val="center"/>
          </w:tcPr>
          <w:p>
            <w:r>
              <w:t>Break</w:t>
            </w:r>
          </w:p>
        </w:tc>
        <w:tc>
          <w:tcPr>
            <w:tcW w:type="dxa" w:w="2520"/>
            <w:vAlign w:val="center"/>
          </w:tcPr>
          <w:p>
            <w:r>
              <w:t>—</w:t>
            </w:r>
          </w:p>
        </w:tc>
        <w:tc>
          <w:tcPr>
            <w:tcW w:type="dxa" w:w="2520"/>
            <w:vAlign w:val="center"/>
          </w:tcPr>
          <w:p>
            <w:r>
              <w:t>—</w:t>
            </w:r>
          </w:p>
        </w:tc>
      </w:tr>
      <w:tr>
        <w:tc>
          <w:tcPr>
            <w:tcW w:type="dxa" w:w="2520"/>
            <w:vAlign w:val="center"/>
          </w:tcPr>
          <w:p>
            <w:r>
              <w:t>14:45–15:30</w:t>
            </w:r>
          </w:p>
        </w:tc>
        <w:tc>
          <w:tcPr>
            <w:tcW w:type="dxa" w:w="2520"/>
            <w:vAlign w:val="center"/>
          </w:tcPr>
          <w:p>
            <w:r>
              <w:t>Activities 10–12 capstone</w:t>
            </w:r>
          </w:p>
        </w:tc>
        <w:tc>
          <w:tcPr>
            <w:tcW w:type="dxa" w:w="2520"/>
            <w:vAlign w:val="center"/>
          </w:tcPr>
          <w:p>
            <w:r>
              <w:t>Evidence-based decision</w:t>
            </w:r>
          </w:p>
        </w:tc>
        <w:tc>
          <w:tcPr>
            <w:tcW w:type="dxa" w:w="2520"/>
            <w:vAlign w:val="center"/>
          </w:tcPr>
          <w:p>
            <w:r>
              <w:t>A10: 90–91; A11: 92–93; A12: 94–95</w:t>
            </w:r>
          </w:p>
        </w:tc>
      </w:tr>
      <w:tr>
        <w:tc>
          <w:tcPr>
            <w:tcW w:type="dxa" w:w="2520"/>
            <w:vAlign w:val="center"/>
          </w:tcPr>
          <w:p>
            <w:r>
              <w:t>15:30–16:00</w:t>
            </w:r>
          </w:p>
        </w:tc>
        <w:tc>
          <w:tcPr>
            <w:tcW w:type="dxa" w:w="2520"/>
            <w:vAlign w:val="center"/>
          </w:tcPr>
          <w:p>
            <w:r>
              <w:t>Assessment preparation</w:t>
            </w:r>
          </w:p>
        </w:tc>
        <w:tc>
          <w:tcPr>
            <w:tcW w:type="dxa" w:w="2520"/>
            <w:vAlign w:val="center"/>
          </w:tcPr>
          <w:p>
            <w:r>
              <w:t>Questions and readiness</w:t>
            </w:r>
          </w:p>
        </w:tc>
        <w:tc>
          <w:tcPr>
            <w:tcW w:type="dxa" w:w="2520"/>
            <w:vAlign w:val="center"/>
          </w:tcPr>
          <w:p>
            <w:r>
              <w:t>Assessment briefing</w:t>
            </w:r>
          </w:p>
        </w:tc>
      </w:tr>
      <w:tr>
        <w:tc>
          <w:tcPr>
            <w:tcW w:type="dxa" w:w="2520"/>
            <w:vAlign w:val="center"/>
          </w:tcPr>
          <w:p>
            <w:r>
              <w:t>16:00–17:00</w:t>
            </w:r>
          </w:p>
        </w:tc>
        <w:tc>
          <w:tcPr>
            <w:tcW w:type="dxa" w:w="2520"/>
            <w:vAlign w:val="center"/>
          </w:tcPr>
          <w:p>
            <w:r>
              <w:t>Written Assessment</w:t>
            </w:r>
          </w:p>
        </w:tc>
        <w:tc>
          <w:tcPr>
            <w:tcW w:type="dxa" w:w="2520"/>
            <w:vAlign w:val="center"/>
          </w:tcPr>
          <w:p>
            <w:r>
              <w:t>Individual assessment</w:t>
            </w:r>
          </w:p>
        </w:tc>
        <w:tc>
          <w:tcPr>
            <w:tcW w:type="dxa" w:w="2520"/>
            <w:vAlign w:val="center"/>
          </w:tcPr>
          <w:p>
            <w:r>
              <w:t>K1–K5</w:t>
            </w:r>
          </w:p>
        </w:tc>
      </w:tr>
      <w:tr>
        <w:tc>
          <w:tcPr>
            <w:tcW w:type="dxa" w:w="2520"/>
            <w:vAlign w:val="center"/>
          </w:tcPr>
          <w:p>
            <w:r>
              <w:t>17:00–18:00</w:t>
            </w:r>
          </w:p>
        </w:tc>
        <w:tc>
          <w:tcPr>
            <w:tcW w:type="dxa" w:w="2520"/>
            <w:vAlign w:val="center"/>
          </w:tcPr>
          <w:p>
            <w:r>
              <w:t>Case Study Assessment</w:t>
            </w:r>
          </w:p>
        </w:tc>
        <w:tc>
          <w:tcPr>
            <w:tcW w:type="dxa" w:w="2520"/>
            <w:vAlign w:val="center"/>
          </w:tcPr>
          <w:p>
            <w:r>
              <w:t>Individual assessment</w:t>
            </w:r>
          </w:p>
        </w:tc>
        <w:tc>
          <w:tcPr>
            <w:tcW w:type="dxa" w:w="2520"/>
            <w:vAlign w:val="center"/>
          </w:tcPr>
          <w:p>
            <w:r>
              <w:t>A1–A5</w:t>
            </w:r>
          </w:p>
        </w:tc>
      </w:tr>
    </w:tbl>
    <w:p>
      <w:pPr>
        <w:pStyle w:val="Heading2"/>
      </w:pPr>
      <w:r>
        <w:t>Trainer notes</w:t>
      </w:r>
    </w:p>
    <w:p>
      <w:r>
        <w:t>Keep agent building anchored to purpose, knowledge, tools, boundaries and tests. Rehearse failure and escalation. Before assessment, clarify logistics and permitted resources without revealing model responses.</w:t>
      </w:r>
    </w:p>
    <w:p>
      <w:r>
        <w:br w:type="page"/>
      </w:r>
    </w:p>
    <w:p>
      <w:pPr>
        <w:pStyle w:val="Heading1"/>
      </w:pPr>
      <w:r>
        <w:t>Activity facilitation and debrief</w:t>
      </w:r>
    </w:p>
    <w:p>
      <w:pPr>
        <w:pStyle w:val="Heading2"/>
      </w:pPr>
      <w:r>
        <w:t>Activity 1: Map the HR AI Opportunity Portfolio</w:t>
      </w:r>
    </w:p>
    <w:p>
      <w:r>
        <w:t>Purpose: Classify HR work across automation, Microsoft 365 Copilot and agentic AI, then select one bounded pilot.</w:t>
      </w:r>
    </w:p>
    <w:p>
      <w:r>
        <w:t>Observe for: No employee personal data; State all assumptions; Human owner for every shortlisted use case</w:t>
      </w:r>
    </w:p>
    <w:p>
      <w:r>
        <w:t>Debrief: Why is the selected capability the lightest sufficient option? | What evidence would stop the pilot? | Whose experience could worsen even if cycle time improves?</w:t>
      </w:r>
    </w:p>
    <w:p>
      <w:r>
        <w:t>Slides: 30–31</w:t>
      </w:r>
    </w:p>
    <w:p>
      <w:pPr>
        <w:pStyle w:val="Heading2"/>
      </w:pPr>
      <w:r>
        <w:t>Activity 2: Design a Skills-Based Workforce Plan</w:t>
      </w:r>
    </w:p>
    <w:p>
      <w:r>
        <w:t>Purpose: Use Copilot to synthesise demand evidence and draft a skills-based, fair job design.</w:t>
      </w:r>
    </w:p>
    <w:p>
      <w:r>
        <w:t>Observe for: Separate evidence from assumption; No age, nationality or other non-job-related criteria; Hiring manager approval</w:t>
      </w:r>
    </w:p>
    <w:p>
      <w:r>
        <w:t>Debrief: Which assumption has the greatest planning impact? | Which requirement could unfairly narrow the pool? | How will the hypothesis be revisited?</w:t>
      </w:r>
    </w:p>
    <w:p>
      <w:r>
        <w:t>Slides: 32–33</w:t>
      </w:r>
    </w:p>
    <w:p>
      <w:pPr>
        <w:pStyle w:val="Heading2"/>
      </w:pPr>
      <w:r>
        <w:t>Activity 3: Write the Governed HR AI Pilot Charter</w:t>
      </w:r>
    </w:p>
    <w:p>
      <w:r>
        <w:t>Purpose: Convert an opportunity into a testable pilot charter with go/no-go gates.</w:t>
      </w:r>
    </w:p>
    <w:p>
      <w:r>
        <w:t>Observe for: Synthetic or de-identified pilot data; Named risk owner; Kill switch and rollback</w:t>
      </w:r>
    </w:p>
    <w:p>
      <w:r>
        <w:t>Debrief: Which decision remains human and why? | Who can stop the pilot? | What would a misleading success metric reward?</w:t>
      </w:r>
    </w:p>
    <w:p>
      <w:r>
        <w:t>Slides: 34–35</w:t>
      </w:r>
    </w:p>
    <w:p>
      <w:pPr>
        <w:pStyle w:val="Heading2"/>
      </w:pPr>
      <w:r>
        <w:t>Activity 4: Build a Fair Resume Evidence Matrix</w:t>
      </w:r>
    </w:p>
    <w:p>
      <w:r>
        <w:t>Purpose: Use Microsoft 365 Copilot to extract job-related evidence and prepare a human-reviewed shortlist.</w:t>
      </w:r>
    </w:p>
    <w:p>
      <w:r>
        <w:t>Observe for: Synthetic resumes only; Protected attributes excluded; AI cannot reject candidates</w:t>
      </w:r>
    </w:p>
    <w:p>
      <w:r>
        <w:t>Debrief: Where did missing evidence risk becoming a negative assumption? | What would make this screening process contestable? | Which errors matter most: false inclusion or false exclusion?</w:t>
      </w:r>
    </w:p>
    <w:p>
      <w:r>
        <w:t>Slides: 50–51</w:t>
      </w:r>
    </w:p>
    <w:p>
      <w:pPr>
        <w:pStyle w:val="Heading2"/>
      </w:pPr>
      <w:r>
        <w:t>Activity 5: Draft and Govern an HR Policy Update</w:t>
      </w:r>
    </w:p>
    <w:p>
      <w:r>
        <w:t>Purpose: Use Word Copilot to compare sources and prepare a controlled policy draft plus communication plan.</w:t>
      </w:r>
    </w:p>
    <w:p>
      <w:r>
        <w:t>Observe for: Only approved source documents; Policy owner signs off; Effective date and superseded versions recorded</w:t>
      </w:r>
    </w:p>
    <w:p>
      <w:r>
        <w:t>Debrief: Which conflict could create unequal treatment? | What must not be inferred by Copilot? | How will users know which version is authoritative?</w:t>
      </w:r>
    </w:p>
    <w:p>
      <w:r>
        <w:t>Slides: 52–53</w:t>
      </w:r>
    </w:p>
    <w:p>
      <w:pPr>
        <w:pStyle w:val="Heading2"/>
      </w:pPr>
      <w:r>
        <w:t>Activity 6: Create a Personalised Onboarding Journey</w:t>
      </w:r>
    </w:p>
    <w:p>
      <w:r>
        <w:t>Purpose: Use Microsoft 365 Copilot to prepare role-based onboarding plans, communications and learning prompts.</w:t>
      </w:r>
    </w:p>
    <w:p>
      <w:r>
        <w:t>Observe for: Use only approved role and policy data; Do not infer personal needs; New joiner can request adjustments</w:t>
      </w:r>
    </w:p>
    <w:p>
      <w:r>
        <w:t>Debrief: What should remain standard for every new joiner? | Which personalisation requires consent? | How will HR detect an onboarding access failure early?</w:t>
      </w:r>
    </w:p>
    <w:p>
      <w:r>
        <w:t>Slides: 54–55</w:t>
      </w:r>
    </w:p>
    <w:p>
      <w:pPr>
        <w:pStyle w:val="Heading2"/>
      </w:pPr>
      <w:r>
        <w:t>Activity 7: Build an HR Policy Q&amp;A Agent</w:t>
      </w:r>
    </w:p>
    <w:p>
      <w:r>
        <w:t>Purpose: Create a bounded policy agent in Agent Builder for Microsoft 365 Copilot and test grounded answers.</w:t>
      </w:r>
    </w:p>
    <w:p>
      <w:r>
        <w:t>Observe for: Cite approved policy; No personalised entitlement decisions; Escalate ambiguity and sensitive cases</w:t>
      </w:r>
    </w:p>
    <w:p>
      <w:r>
        <w:t>Debrief: What makes an answer grounded rather than merely plausible? | When should the agent stop answering? | What new operating work does this agent create?</w:t>
      </w:r>
    </w:p>
    <w:p>
      <w:r>
        <w:t>Slides: 70–71</w:t>
      </w:r>
    </w:p>
    <w:p>
      <w:pPr>
        <w:pStyle w:val="Heading2"/>
      </w:pPr>
      <w:r>
        <w:t>Activity 8: Design an Onboarding Coordination Agent</w:t>
      </w:r>
    </w:p>
    <w:p>
      <w:r>
        <w:t>Purpose: Design a Copilot Studio agent that coordinates onboarding while retaining accountable task owners.</w:t>
      </w:r>
    </w:p>
    <w:p>
      <w:r>
        <w:t>Observe for: Least-privilege connectors; No invented commitments; Human owner confirms every completion</w:t>
      </w:r>
    </w:p>
    <w:p>
      <w:r>
        <w:t>Debrief: Which step is orchestration rather than content generation? | Where could duplicate actions occur? | What evidence proves the joiner—not only the workflow—was ready?</w:t>
      </w:r>
    </w:p>
    <w:p>
      <w:r>
        <w:t>Slides: 72–73</w:t>
      </w:r>
    </w:p>
    <w:p>
      <w:pPr>
        <w:pStyle w:val="Heading2"/>
      </w:pPr>
      <w:r>
        <w:t>Activity 9: Build a Leave Request Agent and Approval Flow</w:t>
      </w:r>
    </w:p>
    <w:p>
      <w:r>
        <w:t>Purpose: Design a Copilot Studio agent plus deterministic flow for eligibility, approval, update and notification.</w:t>
      </w:r>
    </w:p>
    <w:p>
      <w:r>
        <w:t>Observe for: Confirm before submission; Manager approves exceptions; Idempotency prevents duplicates</w:t>
      </w:r>
    </w:p>
    <w:p>
      <w:r>
        <w:t>Debrief: Which rule belongs in the flow rather than the language model? | How will a duplicate submission be detected? | Who resolves a disputed balance?</w:t>
      </w:r>
    </w:p>
    <w:p>
      <w:r>
        <w:t>Slides: 74–75</w:t>
      </w:r>
    </w:p>
    <w:p>
      <w:pPr>
        <w:pStyle w:val="Heading2"/>
      </w:pPr>
      <w:r>
        <w:t>Activity 10: Prepare a Fair Performance and Learning Conversation</w:t>
      </w:r>
    </w:p>
    <w:p>
      <w:r>
        <w:t>Purpose: Use Copilot to organise evidence, distinguish observation from inference and prepare human-led coaching.</w:t>
      </w:r>
    </w:p>
    <w:p>
      <w:r>
        <w:t>Observe for: No personality inference; Employee can correct evidence; Manager owns the conversation and rating</w:t>
      </w:r>
    </w:p>
    <w:p>
      <w:r>
        <w:t>Debrief: Which evidence is relevant but not sufficient? | How can the employee contest the summary? | What should Copilot never infer from tone or activity data?</w:t>
      </w:r>
    </w:p>
    <w:p>
      <w:r>
        <w:t>Slides: 90–91</w:t>
      </w:r>
    </w:p>
    <w:p>
      <w:pPr>
        <w:pStyle w:val="Heading2"/>
      </w:pPr>
      <w:r>
        <w:t>Activity 11: Design Safe Employee Service and Offboarding</w:t>
      </w:r>
    </w:p>
    <w:p>
      <w:r>
        <w:t>Purpose: Define privacy-aware routing, escalation and least-privilege actions across sensitive HR services.</w:t>
      </w:r>
    </w:p>
    <w:p>
      <w:r>
        <w:t>Observe for: Authenticate personal requests; No legal or clinical advice; Separation of duties for access removal</w:t>
      </w:r>
    </w:p>
    <w:p>
      <w:r>
        <w:t>Debrief: Why should one front door not mean one permission set? | Which disclosure demands an immediate human response? | What evidence is needed before access is removed?</w:t>
      </w:r>
    </w:p>
    <w:p>
      <w:r>
        <w:t>Slides: 92–93</w:t>
      </w:r>
    </w:p>
    <w:p>
      <w:pPr>
        <w:pStyle w:val="Heading2"/>
      </w:pPr>
      <w:r>
        <w:t>Activity 12: Capstone: Operate the HR Agent Control Room</w:t>
      </w:r>
    </w:p>
    <w:p>
      <w:r>
        <w:t>Purpose: Use service, risk, adoption and human-value evidence to make a defensible operating decision.</w:t>
      </w:r>
    </w:p>
    <w:p>
      <w:r>
        <w:t>Observe for: No scale without control thresholds; Employee feedback included; Named owner and retirement path</w:t>
      </w:r>
    </w:p>
    <w:p>
      <w:r>
        <w:t>Debrief: Which metric looked good but hid harm? | What evidence justifies scale? | How will the organisation retire an agent safely?</w:t>
      </w:r>
    </w:p>
    <w:p>
      <w:r>
        <w:t>Slides: 94–95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Lesson Plan • Version 6.0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t>Tertiary Infotech Academy  |  TGS-2024045795  |  Agentic AI for HR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C234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71B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A6A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C234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